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2"/>
          <w:szCs w:val="32"/>
        </w:rPr>
      </w:pPr>
      <w:bookmarkStart w:id="0" w:name="_GoBack"/>
      <w:bookmarkEnd w:id="0"/>
      <w:r>
        <w:rPr>
          <w:rFonts w:ascii="黑体" w:hAnsi="黑体" w:eastAsia="黑体"/>
          <w:b/>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黑体" w:hAnsi="黑体" w:eastAsia="黑体"/>
          <w:b/>
          <w:sz w:val="32"/>
          <w:szCs w:val="32"/>
        </w:rPr>
        <w:instrText xml:space="preserve">ADDIN CNKISM.UserStyle</w:instrText>
      </w:r>
      <w:r>
        <w:rPr>
          <w:rFonts w:ascii="黑体" w:hAnsi="黑体" w:eastAsia="黑体"/>
          <w:b/>
          <w:sz w:val="32"/>
          <w:szCs w:val="32"/>
        </w:rPr>
        <w:fldChar w:fldCharType="separate"/>
      </w:r>
      <w:r>
        <w:rPr>
          <w:rFonts w:ascii="黑体" w:hAnsi="黑体" w:eastAsia="黑体"/>
          <w:b/>
          <w:sz w:val="32"/>
          <w:szCs w:val="32"/>
        </w:rPr>
        <w:fldChar w:fldCharType="end"/>
      </w:r>
      <w:r>
        <w:rPr>
          <w:rFonts w:hint="eastAsia" w:ascii="黑体" w:hAnsi="黑体" w:eastAsia="黑体"/>
          <w:b/>
          <w:sz w:val="32"/>
          <w:szCs w:val="32"/>
        </w:rPr>
        <w:t>北京语言大学中华文化研究院研究生</w:t>
      </w:r>
    </w:p>
    <w:p>
      <w:pPr>
        <w:jc w:val="center"/>
        <w:rPr>
          <w:rFonts w:ascii="黑体" w:hAnsi="黑体" w:eastAsia="黑体"/>
          <w:b/>
          <w:sz w:val="32"/>
          <w:szCs w:val="32"/>
        </w:rPr>
      </w:pPr>
      <w:r>
        <w:rPr>
          <w:rFonts w:hint="eastAsia" w:ascii="黑体" w:hAnsi="黑体" w:eastAsia="黑体"/>
          <w:b/>
          <w:sz w:val="32"/>
          <w:szCs w:val="32"/>
        </w:rPr>
        <w:t>学业奖学金评审办法（试行）</w:t>
      </w:r>
    </w:p>
    <w:p>
      <w:pPr>
        <w:spacing w:line="360" w:lineRule="auto"/>
        <w:ind w:firstLine="480" w:firstLineChars="200"/>
        <w:jc w:val="left"/>
        <w:rPr>
          <w:rFonts w:ascii="仿宋" w:hAnsi="仿宋" w:eastAsia="仿宋"/>
          <w:sz w:val="24"/>
          <w:szCs w:val="24"/>
        </w:rPr>
      </w:pP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为贯彻落实《国家中长期教育改革和发展规划纲要（2010—2020年）》、财政部、国家发展改革委员会、教育部《关于完善研究生教育投入机制的意见》（财教[2013]19号）的文件规定，从2014年秋季学期起，设立研究生学业奖学金，用于奖励支持研究生更好地完成学业。为更好地促进研究生教育质量的提升和内涵发展，根据《北京语言大学研究生学业奖学金管理办法》（校研字[2014]14号）文件精神，中华文化研究院制定此评审办法。</w:t>
      </w:r>
    </w:p>
    <w:p>
      <w:pPr>
        <w:spacing w:line="360" w:lineRule="auto"/>
        <w:jc w:val="left"/>
        <w:rPr>
          <w:rFonts w:ascii="仿宋" w:hAnsi="仿宋" w:eastAsia="仿宋"/>
          <w:sz w:val="24"/>
          <w:szCs w:val="24"/>
        </w:rPr>
      </w:pPr>
    </w:p>
    <w:p>
      <w:pPr>
        <w:pStyle w:val="14"/>
        <w:numPr>
          <w:ilvl w:val="0"/>
          <w:numId w:val="1"/>
        </w:numPr>
        <w:spacing w:line="360" w:lineRule="auto"/>
        <w:ind w:firstLineChars="0"/>
        <w:jc w:val="center"/>
        <w:rPr>
          <w:rFonts w:ascii="仿宋" w:hAnsi="仿宋" w:eastAsia="仿宋"/>
          <w:b/>
          <w:sz w:val="28"/>
          <w:szCs w:val="24"/>
        </w:rPr>
      </w:pPr>
      <w:r>
        <w:rPr>
          <w:rFonts w:hint="eastAsia" w:ascii="仿宋" w:hAnsi="仿宋" w:eastAsia="仿宋"/>
          <w:b/>
          <w:sz w:val="28"/>
          <w:szCs w:val="24"/>
        </w:rPr>
        <w:t>研究生学业奖学金申请条件</w:t>
      </w:r>
    </w:p>
    <w:p>
      <w:pPr>
        <w:pStyle w:val="14"/>
        <w:spacing w:line="360" w:lineRule="auto"/>
        <w:ind w:left="450" w:firstLine="0" w:firstLineChars="0"/>
        <w:rPr>
          <w:rFonts w:ascii="仿宋" w:hAnsi="仿宋" w:eastAsia="仿宋"/>
          <w:b/>
          <w:sz w:val="24"/>
          <w:szCs w:val="24"/>
        </w:rPr>
      </w:pPr>
    </w:p>
    <w:p>
      <w:pPr>
        <w:spacing w:line="360" w:lineRule="auto"/>
        <w:rPr>
          <w:rFonts w:ascii="仿宋" w:hAnsi="仿宋" w:eastAsia="仿宋"/>
          <w:sz w:val="24"/>
          <w:szCs w:val="24"/>
        </w:rPr>
      </w:pPr>
      <w:r>
        <w:rPr>
          <w:rFonts w:hint="eastAsia" w:ascii="仿宋" w:hAnsi="仿宋" w:eastAsia="仿宋"/>
          <w:sz w:val="24"/>
          <w:szCs w:val="24"/>
        </w:rPr>
        <w:t xml:space="preserve">    第一条  研究生学业奖学金的奖励对象为新定义的北京语言大学全日制培养研究生。</w:t>
      </w:r>
      <w:r>
        <w:rPr>
          <w:rStyle w:val="13"/>
          <w:rFonts w:ascii="仿宋" w:hAnsi="仿宋" w:eastAsia="仿宋"/>
          <w:sz w:val="24"/>
          <w:szCs w:val="24"/>
        </w:rPr>
        <w:footnoteReference w:id="0"/>
      </w:r>
    </w:p>
    <w:p>
      <w:pPr>
        <w:spacing w:line="360" w:lineRule="auto"/>
        <w:rPr>
          <w:rFonts w:ascii="仿宋" w:hAnsi="仿宋" w:eastAsia="仿宋"/>
          <w:sz w:val="24"/>
          <w:szCs w:val="24"/>
        </w:rPr>
      </w:pPr>
      <w:r>
        <w:rPr>
          <w:rFonts w:hint="eastAsia" w:ascii="仿宋" w:hAnsi="仿宋" w:eastAsia="仿宋"/>
          <w:sz w:val="24"/>
          <w:szCs w:val="24"/>
        </w:rPr>
        <w:t xml:space="preserve">    第二条  在规定的学制期间内。</w:t>
      </w:r>
      <w:r>
        <w:rPr>
          <w:rStyle w:val="13"/>
          <w:rFonts w:ascii="仿宋" w:hAnsi="仿宋" w:eastAsia="仿宋"/>
          <w:sz w:val="24"/>
          <w:szCs w:val="24"/>
        </w:rPr>
        <w:footnoteReference w:id="1"/>
      </w:r>
    </w:p>
    <w:p>
      <w:pPr>
        <w:spacing w:line="360" w:lineRule="auto"/>
        <w:ind w:firstLine="480"/>
        <w:rPr>
          <w:rFonts w:ascii="仿宋" w:hAnsi="仿宋" w:eastAsia="仿宋"/>
          <w:sz w:val="24"/>
          <w:szCs w:val="24"/>
        </w:rPr>
      </w:pPr>
      <w:r>
        <w:rPr>
          <w:rFonts w:hint="eastAsia" w:ascii="仿宋" w:hAnsi="仿宋" w:eastAsia="仿宋"/>
          <w:sz w:val="24"/>
          <w:szCs w:val="24"/>
        </w:rPr>
        <w:t>第三条  在学期间遵守国家法律法规和学校规章制度，没有违反学术道德和违规违纪行为。</w:t>
      </w:r>
    </w:p>
    <w:p>
      <w:pPr>
        <w:widowControl/>
        <w:jc w:val="left"/>
        <w:rPr>
          <w:rFonts w:ascii="仿宋" w:hAnsi="仿宋" w:eastAsia="仿宋"/>
          <w:b/>
          <w:sz w:val="24"/>
          <w:szCs w:val="24"/>
        </w:rPr>
      </w:pPr>
      <w:r>
        <w:rPr>
          <w:rFonts w:ascii="仿宋" w:hAnsi="仿宋" w:eastAsia="仿宋"/>
          <w:b/>
          <w:sz w:val="24"/>
          <w:szCs w:val="24"/>
        </w:rPr>
        <w:br w:type="page"/>
      </w:r>
    </w:p>
    <w:p>
      <w:pPr>
        <w:pStyle w:val="14"/>
        <w:spacing w:line="360" w:lineRule="auto"/>
        <w:ind w:left="450" w:firstLine="0" w:firstLineChars="0"/>
        <w:jc w:val="center"/>
        <w:rPr>
          <w:rFonts w:ascii="仿宋" w:hAnsi="仿宋" w:eastAsia="仿宋"/>
          <w:b/>
          <w:sz w:val="28"/>
          <w:szCs w:val="24"/>
        </w:rPr>
      </w:pPr>
      <w:r>
        <w:rPr>
          <w:rFonts w:hint="eastAsia" w:ascii="仿宋" w:hAnsi="仿宋" w:eastAsia="仿宋"/>
          <w:b/>
          <w:sz w:val="28"/>
          <w:szCs w:val="24"/>
        </w:rPr>
        <w:t>二、研究生学业奖学金等级设定及比例标准</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02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类别</w:t>
            </w:r>
          </w:p>
        </w:tc>
        <w:tc>
          <w:tcPr>
            <w:tcW w:w="202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是否有工资收入</w:t>
            </w:r>
          </w:p>
        </w:tc>
        <w:tc>
          <w:tcPr>
            <w:tcW w:w="170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等级</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比例</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奖学金标准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硕士</w:t>
            </w:r>
          </w:p>
        </w:tc>
        <w:tc>
          <w:tcPr>
            <w:tcW w:w="2024"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无</w:t>
            </w:r>
          </w:p>
        </w:tc>
        <w:tc>
          <w:tcPr>
            <w:tcW w:w="170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一</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10%</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360" w:lineRule="auto"/>
              <w:jc w:val="center"/>
              <w:rPr>
                <w:rFonts w:ascii="仿宋" w:hAnsi="仿宋" w:eastAsia="仿宋"/>
                <w:sz w:val="24"/>
                <w:szCs w:val="24"/>
              </w:rPr>
            </w:pPr>
          </w:p>
        </w:tc>
        <w:tc>
          <w:tcPr>
            <w:tcW w:w="2024" w:type="dxa"/>
            <w:vMerge w:val="continue"/>
            <w:vAlign w:val="center"/>
          </w:tcPr>
          <w:p>
            <w:pPr>
              <w:spacing w:line="360" w:lineRule="auto"/>
              <w:jc w:val="center"/>
              <w:rPr>
                <w:rFonts w:ascii="仿宋" w:hAnsi="仿宋" w:eastAsia="仿宋"/>
                <w:sz w:val="24"/>
                <w:szCs w:val="24"/>
              </w:rPr>
            </w:pPr>
          </w:p>
        </w:tc>
        <w:tc>
          <w:tcPr>
            <w:tcW w:w="170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二</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20%</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0.9万元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360" w:lineRule="auto"/>
              <w:jc w:val="center"/>
              <w:rPr>
                <w:rFonts w:ascii="仿宋" w:hAnsi="仿宋" w:eastAsia="仿宋"/>
                <w:sz w:val="24"/>
                <w:szCs w:val="24"/>
              </w:rPr>
            </w:pPr>
          </w:p>
        </w:tc>
        <w:tc>
          <w:tcPr>
            <w:tcW w:w="2024" w:type="dxa"/>
            <w:vMerge w:val="continue"/>
            <w:vAlign w:val="center"/>
          </w:tcPr>
          <w:p>
            <w:pPr>
              <w:spacing w:line="360" w:lineRule="auto"/>
              <w:jc w:val="center"/>
              <w:rPr>
                <w:rFonts w:ascii="仿宋" w:hAnsi="仿宋" w:eastAsia="仿宋"/>
                <w:sz w:val="24"/>
                <w:szCs w:val="24"/>
              </w:rPr>
            </w:pPr>
          </w:p>
        </w:tc>
        <w:tc>
          <w:tcPr>
            <w:tcW w:w="170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三</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70%</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360" w:lineRule="auto"/>
              <w:jc w:val="center"/>
              <w:rPr>
                <w:rFonts w:ascii="仿宋" w:hAnsi="仿宋" w:eastAsia="仿宋"/>
                <w:sz w:val="24"/>
                <w:szCs w:val="24"/>
              </w:rPr>
            </w:pPr>
          </w:p>
        </w:tc>
        <w:tc>
          <w:tcPr>
            <w:tcW w:w="202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有</w:t>
            </w:r>
          </w:p>
        </w:tc>
        <w:tc>
          <w:tcPr>
            <w:tcW w:w="170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三</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100%</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0.6万元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博士</w:t>
            </w:r>
          </w:p>
        </w:tc>
        <w:tc>
          <w:tcPr>
            <w:tcW w:w="2024" w:type="dxa"/>
            <w:vMerge w:val="restart"/>
            <w:vAlign w:val="center"/>
          </w:tcPr>
          <w:p>
            <w:pPr>
              <w:spacing w:line="360" w:lineRule="auto"/>
              <w:jc w:val="center"/>
              <w:rPr>
                <w:rFonts w:ascii="仿宋" w:hAnsi="仿宋" w:eastAsia="仿宋"/>
                <w:sz w:val="24"/>
                <w:szCs w:val="24"/>
              </w:rPr>
            </w:pPr>
            <w:r>
              <w:rPr>
                <w:rFonts w:hint="eastAsia" w:ascii="仿宋" w:hAnsi="仿宋" w:eastAsia="仿宋"/>
                <w:sz w:val="24"/>
                <w:szCs w:val="24"/>
              </w:rPr>
              <w:t>无</w:t>
            </w:r>
          </w:p>
        </w:tc>
        <w:tc>
          <w:tcPr>
            <w:tcW w:w="170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一</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20%</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360" w:lineRule="auto"/>
              <w:jc w:val="center"/>
              <w:rPr>
                <w:rFonts w:ascii="仿宋" w:hAnsi="仿宋" w:eastAsia="仿宋"/>
                <w:sz w:val="24"/>
                <w:szCs w:val="24"/>
              </w:rPr>
            </w:pPr>
          </w:p>
        </w:tc>
        <w:tc>
          <w:tcPr>
            <w:tcW w:w="2024" w:type="dxa"/>
            <w:vMerge w:val="continue"/>
            <w:vAlign w:val="center"/>
          </w:tcPr>
          <w:p>
            <w:pPr>
              <w:spacing w:line="360" w:lineRule="auto"/>
              <w:jc w:val="center"/>
              <w:rPr>
                <w:rFonts w:ascii="仿宋" w:hAnsi="仿宋" w:eastAsia="仿宋"/>
                <w:sz w:val="24"/>
                <w:szCs w:val="24"/>
              </w:rPr>
            </w:pPr>
          </w:p>
        </w:tc>
        <w:tc>
          <w:tcPr>
            <w:tcW w:w="170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二</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80%</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1.2万元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spacing w:line="360" w:lineRule="auto"/>
              <w:jc w:val="center"/>
              <w:rPr>
                <w:rFonts w:ascii="仿宋" w:hAnsi="仿宋" w:eastAsia="仿宋"/>
                <w:sz w:val="24"/>
                <w:szCs w:val="24"/>
              </w:rPr>
            </w:pPr>
          </w:p>
        </w:tc>
        <w:tc>
          <w:tcPr>
            <w:tcW w:w="202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有</w:t>
            </w:r>
          </w:p>
        </w:tc>
        <w:tc>
          <w:tcPr>
            <w:tcW w:w="1704"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三</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100%</w:t>
            </w:r>
          </w:p>
        </w:tc>
        <w:tc>
          <w:tcPr>
            <w:tcW w:w="1705" w:type="dxa"/>
            <w:vAlign w:val="center"/>
          </w:tcPr>
          <w:p>
            <w:pPr>
              <w:spacing w:line="360" w:lineRule="auto"/>
              <w:jc w:val="center"/>
              <w:rPr>
                <w:rFonts w:ascii="仿宋" w:hAnsi="仿宋" w:eastAsia="仿宋"/>
                <w:sz w:val="24"/>
                <w:szCs w:val="24"/>
              </w:rPr>
            </w:pPr>
            <w:r>
              <w:rPr>
                <w:rFonts w:hint="eastAsia" w:ascii="仿宋" w:hAnsi="仿宋" w:eastAsia="仿宋"/>
                <w:sz w:val="24"/>
                <w:szCs w:val="24"/>
              </w:rPr>
              <w:t>0.6万元</w:t>
            </w:r>
          </w:p>
        </w:tc>
      </w:tr>
    </w:tbl>
    <w:p>
      <w:pPr>
        <w:spacing w:line="360" w:lineRule="auto"/>
        <w:rPr>
          <w:rFonts w:hint="eastAsia" w:ascii="仿宋" w:hAnsi="仿宋" w:eastAsia="仿宋"/>
          <w:sz w:val="24"/>
          <w:szCs w:val="24"/>
        </w:rPr>
      </w:pPr>
      <w:r>
        <w:rPr>
          <w:rFonts w:hint="eastAsia" w:ascii="仿宋" w:hAnsi="仿宋" w:eastAsia="仿宋"/>
          <w:sz w:val="24"/>
          <w:szCs w:val="24"/>
        </w:rPr>
        <w:t xml:space="preserve"> 说明</w:t>
      </w:r>
      <w:r>
        <w:rPr>
          <w:rFonts w:ascii="仿宋" w:hAnsi="仿宋" w:eastAsia="仿宋"/>
          <w:sz w:val="24"/>
          <w:szCs w:val="24"/>
        </w:rPr>
        <w:t>：</w:t>
      </w:r>
    </w:p>
    <w:p>
      <w:pPr>
        <w:spacing w:line="360" w:lineRule="auto"/>
        <w:rPr>
          <w:rFonts w:hint="eastAsia" w:ascii="仿宋" w:hAnsi="仿宋" w:eastAsia="仿宋"/>
          <w:sz w:val="24"/>
          <w:szCs w:val="24"/>
        </w:rPr>
      </w:pPr>
      <w:r>
        <w:rPr>
          <w:rFonts w:hint="eastAsia" w:ascii="仿宋" w:hAnsi="仿宋" w:eastAsia="仿宋"/>
          <w:sz w:val="24"/>
          <w:szCs w:val="24"/>
        </w:rPr>
        <w:t>（1）表中所列等级、比例、奖学金标准受当年国家政策和招生情况的影响，可能上下浮动，如有微调，以学校当年规定为准。</w:t>
      </w:r>
    </w:p>
    <w:p>
      <w:pPr>
        <w:spacing w:line="360" w:lineRule="auto"/>
        <w:rPr>
          <w:rFonts w:ascii="仿宋" w:hAnsi="仿宋" w:eastAsia="仿宋"/>
          <w:sz w:val="24"/>
          <w:szCs w:val="24"/>
        </w:rPr>
      </w:pPr>
      <w:r>
        <w:rPr>
          <w:rFonts w:hint="eastAsia" w:ascii="仿宋" w:hAnsi="仿宋" w:eastAsia="仿宋"/>
          <w:sz w:val="24"/>
          <w:szCs w:val="24"/>
        </w:rPr>
        <w:t>（2）评选期限内出国</w:t>
      </w:r>
      <w:r>
        <w:rPr>
          <w:rFonts w:ascii="仿宋" w:hAnsi="仿宋" w:eastAsia="仿宋"/>
          <w:sz w:val="24"/>
          <w:szCs w:val="24"/>
        </w:rPr>
        <w:t>任汉语</w:t>
      </w:r>
      <w:r>
        <w:rPr>
          <w:rFonts w:hint="eastAsia" w:ascii="仿宋" w:hAnsi="仿宋" w:eastAsia="仿宋"/>
          <w:sz w:val="24"/>
          <w:szCs w:val="24"/>
        </w:rPr>
        <w:t>教师</w:t>
      </w:r>
      <w:r>
        <w:rPr>
          <w:rFonts w:ascii="仿宋" w:hAnsi="仿宋" w:eastAsia="仿宋"/>
          <w:sz w:val="24"/>
          <w:szCs w:val="24"/>
        </w:rPr>
        <w:t>志愿者</w:t>
      </w:r>
      <w:r>
        <w:rPr>
          <w:rFonts w:hint="eastAsia" w:ascii="仿宋" w:hAnsi="仿宋" w:eastAsia="仿宋"/>
          <w:sz w:val="24"/>
          <w:szCs w:val="24"/>
        </w:rPr>
        <w:t>的</w:t>
      </w:r>
      <w:r>
        <w:rPr>
          <w:rFonts w:ascii="仿宋" w:hAnsi="仿宋" w:eastAsia="仿宋"/>
          <w:sz w:val="24"/>
          <w:szCs w:val="24"/>
        </w:rPr>
        <w:t>，</w:t>
      </w:r>
      <w:r>
        <w:rPr>
          <w:rFonts w:hint="eastAsia" w:ascii="仿宋" w:hAnsi="仿宋" w:eastAsia="仿宋"/>
          <w:sz w:val="24"/>
          <w:szCs w:val="24"/>
        </w:rPr>
        <w:t>学业奖学金</w:t>
      </w:r>
      <w:r>
        <w:rPr>
          <w:rFonts w:ascii="仿宋" w:hAnsi="仿宋" w:eastAsia="仿宋"/>
          <w:sz w:val="24"/>
          <w:szCs w:val="24"/>
        </w:rPr>
        <w:t>直接定为三等奖。</w:t>
      </w:r>
    </w:p>
    <w:p>
      <w:pPr>
        <w:spacing w:line="360" w:lineRule="auto"/>
        <w:jc w:val="center"/>
        <w:rPr>
          <w:rFonts w:ascii="仿宋" w:hAnsi="仿宋" w:eastAsia="仿宋"/>
          <w:sz w:val="24"/>
          <w:szCs w:val="24"/>
        </w:rPr>
      </w:pPr>
    </w:p>
    <w:p>
      <w:pPr>
        <w:spacing w:line="360" w:lineRule="auto"/>
        <w:jc w:val="center"/>
        <w:rPr>
          <w:rFonts w:ascii="仿宋" w:hAnsi="仿宋" w:eastAsia="仿宋"/>
          <w:sz w:val="24"/>
          <w:szCs w:val="24"/>
        </w:rPr>
      </w:pPr>
      <w:r>
        <w:rPr>
          <w:rFonts w:hint="eastAsia" w:ascii="仿宋" w:hAnsi="仿宋" w:eastAsia="仿宋"/>
          <w:sz w:val="24"/>
          <w:szCs w:val="24"/>
        </w:rPr>
        <w:t>三、</w:t>
      </w:r>
      <w:r>
        <w:rPr>
          <w:rFonts w:hint="eastAsia" w:ascii="仿宋" w:hAnsi="仿宋" w:eastAsia="仿宋"/>
          <w:b/>
          <w:sz w:val="28"/>
          <w:szCs w:val="24"/>
        </w:rPr>
        <w:t>研究生学业奖学金评定细则</w:t>
      </w:r>
    </w:p>
    <w:p>
      <w:pPr>
        <w:pStyle w:val="14"/>
        <w:spacing w:line="360" w:lineRule="auto"/>
        <w:ind w:left="420" w:firstLine="0" w:firstLineChars="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第四条</w:t>
      </w:r>
      <w:r>
        <w:rPr>
          <w:rFonts w:ascii="仿宋" w:hAnsi="仿宋" w:eastAsia="仿宋"/>
          <w:sz w:val="24"/>
          <w:szCs w:val="24"/>
        </w:rPr>
        <w:t xml:space="preserve">  </w:t>
      </w:r>
      <w:r>
        <w:rPr>
          <w:rFonts w:hint="eastAsia" w:ascii="仿宋" w:hAnsi="仿宋" w:eastAsia="仿宋"/>
          <w:sz w:val="24"/>
          <w:szCs w:val="24"/>
        </w:rPr>
        <w:t>研究生学业奖学金基础总分100分，其中德育测评分满分</w:t>
      </w:r>
      <w:r>
        <w:rPr>
          <w:rFonts w:ascii="仿宋" w:hAnsi="仿宋" w:eastAsia="仿宋"/>
          <w:sz w:val="24"/>
          <w:szCs w:val="24"/>
        </w:rPr>
        <w:t>10</w:t>
      </w:r>
      <w:r>
        <w:rPr>
          <w:rFonts w:hint="eastAsia" w:ascii="仿宋" w:hAnsi="仿宋" w:eastAsia="仿宋"/>
          <w:sz w:val="24"/>
          <w:szCs w:val="24"/>
        </w:rPr>
        <w:t>分，</w:t>
      </w:r>
      <w:r>
        <w:rPr>
          <w:rFonts w:ascii="仿宋" w:hAnsi="仿宋" w:eastAsia="仿宋"/>
          <w:sz w:val="24"/>
          <w:szCs w:val="24"/>
        </w:rPr>
        <w:t>特长</w:t>
      </w:r>
      <w:r>
        <w:rPr>
          <w:rFonts w:hint="eastAsia" w:ascii="仿宋" w:hAnsi="仿宋" w:eastAsia="仿宋"/>
          <w:sz w:val="24"/>
          <w:szCs w:val="24"/>
        </w:rPr>
        <w:t>附加分满分10分</w:t>
      </w:r>
      <w:r>
        <w:rPr>
          <w:rFonts w:ascii="仿宋" w:hAnsi="仿宋" w:eastAsia="仿宋"/>
          <w:sz w:val="24"/>
          <w:szCs w:val="24"/>
        </w:rPr>
        <w:t>（</w:t>
      </w:r>
      <w:r>
        <w:rPr>
          <w:rFonts w:hint="eastAsia" w:ascii="仿宋" w:hAnsi="仿宋" w:eastAsia="仿宋"/>
          <w:sz w:val="24"/>
          <w:szCs w:val="24"/>
        </w:rPr>
        <w:t>包括</w:t>
      </w:r>
      <w:r>
        <w:rPr>
          <w:rFonts w:ascii="仿宋" w:hAnsi="仿宋" w:eastAsia="仿宋"/>
          <w:sz w:val="24"/>
          <w:szCs w:val="24"/>
        </w:rPr>
        <w:t>日常活动</w:t>
      </w:r>
      <w:r>
        <w:rPr>
          <w:rFonts w:hint="eastAsia" w:ascii="仿宋" w:hAnsi="仿宋" w:eastAsia="仿宋"/>
          <w:sz w:val="24"/>
          <w:szCs w:val="24"/>
        </w:rPr>
        <w:t>附加分</w:t>
      </w:r>
      <w:r>
        <w:rPr>
          <w:rFonts w:ascii="仿宋" w:hAnsi="仿宋" w:eastAsia="仿宋"/>
          <w:sz w:val="24"/>
          <w:szCs w:val="24"/>
        </w:rPr>
        <w:t>、文艺与文学创作附加分）</w:t>
      </w:r>
      <w:r>
        <w:rPr>
          <w:rFonts w:hint="eastAsia" w:ascii="仿宋" w:hAnsi="仿宋" w:eastAsia="仿宋"/>
          <w:sz w:val="24"/>
          <w:szCs w:val="24"/>
        </w:rPr>
        <w:t>，学术测评分满分80分。科研附加分在总分基础上累加，不设上限。</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第五条  德育测评方法</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德育测评满分10分。</w:t>
      </w:r>
    </w:p>
    <w:p>
      <w:pPr>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德育基本分是对学生德育方面实际表现的量化考察，由研究生辅导员负责计算，综合导师意见进行评价，</w:t>
      </w:r>
      <w:r>
        <w:rPr>
          <w:rFonts w:hint="eastAsia" w:ascii="仿宋" w:hAnsi="仿宋" w:eastAsia="仿宋" w:cs="宋体"/>
          <w:kern w:val="0"/>
          <w:sz w:val="24"/>
          <w:szCs w:val="24"/>
        </w:rPr>
        <w:t>对学生在政治素质、道德品质、法制观念、集体观念、学习态度五个方面的实际表现进行评价，</w:t>
      </w:r>
      <w:r>
        <w:rPr>
          <w:rFonts w:hint="eastAsia" w:ascii="仿宋" w:hAnsi="仿宋" w:eastAsia="仿宋"/>
          <w:sz w:val="24"/>
          <w:szCs w:val="24"/>
        </w:rPr>
        <w:t>共五项，每项2分</w:t>
      </w:r>
      <w:r>
        <w:rPr>
          <w:rFonts w:hint="eastAsia" w:ascii="仿宋" w:hAnsi="仿宋" w:eastAsia="仿宋" w:cs="宋体"/>
          <w:kern w:val="0"/>
          <w:sz w:val="24"/>
          <w:szCs w:val="24"/>
        </w:rPr>
        <w:t>。具体评分标准参见《德育测评参考标准》。</w:t>
      </w:r>
    </w:p>
    <w:p>
      <w:pPr>
        <w:widowControl/>
        <w:spacing w:line="360" w:lineRule="auto"/>
        <w:ind w:firstLine="480" w:firstLineChars="200"/>
        <w:jc w:val="left"/>
        <w:rPr>
          <w:rFonts w:ascii="仿宋" w:hAnsi="仿宋" w:eastAsia="仿宋"/>
          <w:bCs/>
          <w:sz w:val="24"/>
          <w:szCs w:val="24"/>
        </w:rPr>
      </w:pPr>
    </w:p>
    <w:p>
      <w:pPr>
        <w:widowControl/>
        <w:spacing w:line="360" w:lineRule="auto"/>
        <w:ind w:firstLine="480" w:firstLineChars="200"/>
        <w:jc w:val="left"/>
        <w:rPr>
          <w:rFonts w:ascii="仿宋" w:hAnsi="仿宋" w:eastAsia="仿宋"/>
          <w:bCs/>
          <w:sz w:val="24"/>
          <w:szCs w:val="24"/>
        </w:rPr>
      </w:pPr>
    </w:p>
    <w:p>
      <w:pPr>
        <w:widowControl/>
        <w:spacing w:line="360" w:lineRule="auto"/>
        <w:ind w:firstLine="480" w:firstLineChars="200"/>
        <w:jc w:val="left"/>
        <w:rPr>
          <w:rFonts w:ascii="仿宋" w:hAnsi="仿宋" w:eastAsia="仿宋"/>
          <w:bCs/>
          <w:sz w:val="24"/>
          <w:szCs w:val="24"/>
        </w:rPr>
      </w:pPr>
    </w:p>
    <w:p>
      <w:pPr>
        <w:widowControl/>
        <w:spacing w:line="360" w:lineRule="auto"/>
        <w:ind w:firstLine="480" w:firstLineChars="200"/>
        <w:jc w:val="left"/>
        <w:rPr>
          <w:rFonts w:ascii="仿宋" w:hAnsi="仿宋" w:eastAsia="仿宋"/>
          <w:bCs/>
          <w:sz w:val="24"/>
          <w:szCs w:val="24"/>
        </w:rPr>
      </w:pPr>
    </w:p>
    <w:tbl>
      <w:tblPr>
        <w:tblStyle w:val="9"/>
        <w:tblW w:w="89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2677"/>
        <w:gridCol w:w="2801"/>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1099"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spacing w:after="0" w:line="360" w:lineRule="auto"/>
              <w:jc w:val="right"/>
              <w:rPr>
                <w:rFonts w:ascii="仿宋" w:hAnsi="仿宋" w:eastAsia="仿宋"/>
                <w:b/>
                <w:color w:val="000000"/>
                <w:w w:val="80"/>
                <w:szCs w:val="21"/>
              </w:rPr>
            </w:pPr>
            <w:r>
              <w:rPr>
                <w:rFonts w:ascii="仿宋" w:hAnsi="仿宋" w:eastAsia="仿宋"/>
                <w:sz w:val="24"/>
                <w:szCs w:val="24"/>
              </w:rPr>
              <mc:AlternateContent>
                <mc:Choice Requires="wps">
                  <w:drawing>
                    <wp:anchor distT="0" distB="0" distL="114300" distR="114300" simplePos="0" relativeHeight="251651072" behindDoc="0" locked="0" layoutInCell="1" allowOverlap="1">
                      <wp:simplePos x="0" y="0"/>
                      <wp:positionH relativeFrom="column">
                        <wp:posOffset>5080</wp:posOffset>
                      </wp:positionH>
                      <wp:positionV relativeFrom="paragraph">
                        <wp:posOffset>-3175</wp:posOffset>
                      </wp:positionV>
                      <wp:extent cx="429260" cy="906780"/>
                      <wp:effectExtent l="0" t="0" r="27940" b="26670"/>
                      <wp:wrapNone/>
                      <wp:docPr id="30" name="直接箭头连接符 30"/>
                      <wp:cNvGraphicFramePr/>
                      <a:graphic xmlns:a="http://schemas.openxmlformats.org/drawingml/2006/main">
                        <a:graphicData uri="http://schemas.microsoft.com/office/word/2010/wordprocessingShape">
                          <wps:wsp>
                            <wps:cNvCnPr>
                              <a:cxnSpLocks noChangeShapeType="1"/>
                            </wps:cNvCnPr>
                            <wps:spPr bwMode="auto">
                              <a:xfrm>
                                <a:off x="0" y="0"/>
                                <a:ext cx="429260" cy="90708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4pt;margin-top:-0.25pt;height:71.4pt;width:33.8pt;z-index:251651072;mso-width-relative:page;mso-height-relative:page;" filled="f" stroked="t" coordsize="21600,21600" o:gfxdata="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Ak0InPVAAAABQEAAA8AAAAA&#10;AAAAAQAgAAAAIgAAAGRycy9kb3ducmV2LnhtbFBLAQIUABQAAAAIAIdO4kAciCwu3gEAAHYDAAAO&#10;AAAAAAAAAAEAIAAAACQBAABkcnMvZTJvRG9jLnhtbFBLBQYAAAAABgAGAFkBAAB0BQAAAAA=&#10;">
                      <v:fill on="f" focussize="0,0"/>
                      <v:stroke color="#000000" joinstyle="round"/>
                      <v:imagedata o:title=""/>
                      <o:lock v:ext="edit" aspectratio="f"/>
                    </v:shape>
                  </w:pict>
                </mc:Fallback>
              </mc:AlternateContent>
            </w:r>
            <w:r>
              <w:rPr>
                <w:rFonts w:ascii="仿宋" w:hAnsi="仿宋" w:eastAsia="仿宋"/>
                <w:szCs w:val="21"/>
              </w:rPr>
              <mc:AlternateContent>
                <mc:Choice Requires="wps">
                  <w:drawing>
                    <wp:anchor distT="0" distB="0" distL="114300" distR="114300" simplePos="0" relativeHeight="251653120" behindDoc="0" locked="0" layoutInCell="1" allowOverlap="1">
                      <wp:simplePos x="0" y="0"/>
                      <wp:positionH relativeFrom="column">
                        <wp:posOffset>5080</wp:posOffset>
                      </wp:positionH>
                      <wp:positionV relativeFrom="paragraph">
                        <wp:posOffset>-3175</wp:posOffset>
                      </wp:positionV>
                      <wp:extent cx="657860" cy="279400"/>
                      <wp:effectExtent l="0" t="0" r="27940" b="25400"/>
                      <wp:wrapNone/>
                      <wp:docPr id="29" name="直接箭头连接符 29"/>
                      <wp:cNvGraphicFramePr/>
                      <a:graphic xmlns:a="http://schemas.openxmlformats.org/drawingml/2006/main">
                        <a:graphicData uri="http://schemas.microsoft.com/office/word/2010/wordprocessingShape">
                          <wps:wsp>
                            <wps:cNvCnPr>
                              <a:cxnSpLocks noChangeShapeType="1"/>
                            </wps:cNvCnPr>
                            <wps:spPr bwMode="auto">
                              <a:xfrm>
                                <a:off x="0" y="0"/>
                                <a:ext cx="658368" cy="2794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0.4pt;margin-top:-0.25pt;height:22pt;width:51.8pt;z-index:251653120;mso-width-relative:page;mso-height-relative:page;" filled="f" stroked="t" coordsize="21600,21600" o:gfxdata="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1wUEdQAAAAFAQAADwAA&#10;AAAAAAABACAAAAAiAAAAZHJzL2Rvd25yZXYueG1sUEsBAhQAFAAAAAgAh07iQK0LHPDhAQAAdgMA&#10;AA4AAAAAAAAAAQAgAAAAIwEAAGRycy9lMm9Eb2MueG1sUEsFBgAAAAAGAAYAWQEAAHYFAAAAAA==&#10;">
                      <v:fill on="f" focussize="0,0"/>
                      <v:stroke color="#000000" joinstyle="round"/>
                      <v:imagedata o:title=""/>
                      <o:lock v:ext="edit" aspectratio="f"/>
                    </v:shape>
                  </w:pict>
                </mc:Fallback>
              </mc:AlternateContent>
            </w:r>
            <w:r>
              <w:rPr>
                <w:rFonts w:hint="eastAsia" w:ascii="仿宋" w:hAnsi="仿宋" w:eastAsia="仿宋"/>
                <w:b/>
                <w:color w:val="000000"/>
                <w:w w:val="80"/>
                <w:szCs w:val="21"/>
              </w:rPr>
              <w:t>分值</w:t>
            </w:r>
          </w:p>
          <w:p>
            <w:pPr>
              <w:pStyle w:val="3"/>
              <w:spacing w:after="0" w:line="360" w:lineRule="auto"/>
              <w:jc w:val="center"/>
              <w:rPr>
                <w:rFonts w:ascii="仿宋" w:hAnsi="仿宋" w:eastAsia="仿宋"/>
                <w:b/>
                <w:color w:val="000000"/>
                <w:w w:val="80"/>
                <w:szCs w:val="21"/>
              </w:rPr>
            </w:pPr>
            <w:r>
              <w:rPr>
                <w:rFonts w:hint="eastAsia" w:ascii="仿宋" w:hAnsi="仿宋" w:eastAsia="仿宋"/>
                <w:b/>
                <w:color w:val="000000"/>
                <w:w w:val="80"/>
                <w:szCs w:val="21"/>
              </w:rPr>
              <w:t xml:space="preserve"> 标准</w:t>
            </w:r>
          </w:p>
          <w:p>
            <w:pPr>
              <w:pStyle w:val="3"/>
              <w:spacing w:after="0" w:line="360" w:lineRule="auto"/>
              <w:jc w:val="left"/>
              <w:rPr>
                <w:rFonts w:ascii="仿宋" w:hAnsi="仿宋" w:eastAsia="仿宋"/>
                <w:b/>
                <w:color w:val="000000"/>
                <w:w w:val="80"/>
                <w:szCs w:val="21"/>
              </w:rPr>
            </w:pPr>
            <w:r>
              <w:rPr>
                <w:rFonts w:hint="eastAsia" w:ascii="仿宋" w:hAnsi="仿宋" w:eastAsia="仿宋"/>
                <w:b/>
                <w:color w:val="000000"/>
                <w:w w:val="80"/>
                <w:szCs w:val="21"/>
              </w:rPr>
              <w:t>项目</w:t>
            </w:r>
          </w:p>
        </w:tc>
        <w:tc>
          <w:tcPr>
            <w:tcW w:w="2677"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spacing w:after="0" w:line="360" w:lineRule="auto"/>
              <w:jc w:val="center"/>
              <w:rPr>
                <w:rFonts w:ascii="仿宋" w:hAnsi="仿宋" w:eastAsia="仿宋"/>
                <w:b/>
                <w:color w:val="000000"/>
                <w:w w:val="80"/>
                <w:szCs w:val="21"/>
              </w:rPr>
            </w:pPr>
            <w:r>
              <w:rPr>
                <w:rFonts w:hint="eastAsia" w:ascii="仿宋" w:hAnsi="仿宋" w:eastAsia="仿宋"/>
                <w:b/>
                <w:color w:val="000000"/>
                <w:w w:val="80"/>
                <w:szCs w:val="21"/>
              </w:rPr>
              <w:t>1.5-2分</w:t>
            </w:r>
          </w:p>
        </w:tc>
        <w:tc>
          <w:tcPr>
            <w:tcW w:w="2801"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spacing w:after="0" w:line="360" w:lineRule="auto"/>
              <w:jc w:val="center"/>
              <w:rPr>
                <w:rFonts w:ascii="仿宋" w:hAnsi="仿宋" w:eastAsia="仿宋"/>
                <w:b/>
                <w:color w:val="000000"/>
                <w:w w:val="80"/>
                <w:szCs w:val="21"/>
              </w:rPr>
            </w:pPr>
            <w:r>
              <w:rPr>
                <w:rFonts w:hint="eastAsia" w:ascii="仿宋" w:hAnsi="仿宋" w:eastAsia="仿宋"/>
                <w:b/>
                <w:color w:val="000000"/>
                <w:w w:val="80"/>
                <w:szCs w:val="21"/>
              </w:rPr>
              <w:t>1-1.5分</w:t>
            </w:r>
          </w:p>
        </w:tc>
        <w:tc>
          <w:tcPr>
            <w:tcW w:w="241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pPr>
              <w:pStyle w:val="3"/>
              <w:spacing w:after="0" w:line="360" w:lineRule="auto"/>
              <w:jc w:val="center"/>
              <w:rPr>
                <w:rFonts w:ascii="仿宋" w:hAnsi="仿宋" w:eastAsia="仿宋"/>
                <w:b/>
                <w:color w:val="000000"/>
                <w:w w:val="80"/>
                <w:szCs w:val="21"/>
              </w:rPr>
            </w:pPr>
            <w:r>
              <w:rPr>
                <w:rFonts w:hint="eastAsia" w:ascii="仿宋" w:hAnsi="仿宋" w:eastAsia="仿宋"/>
                <w:b/>
                <w:color w:val="000000"/>
                <w:w w:val="80"/>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1099" w:type="dxa"/>
            <w:tcBorders>
              <w:top w:val="single" w:color="auto" w:sz="4" w:space="0"/>
              <w:left w:val="single" w:color="auto" w:sz="4" w:space="0"/>
              <w:bottom w:val="single" w:color="auto" w:sz="4" w:space="0"/>
              <w:right w:val="single" w:color="auto" w:sz="4" w:space="0"/>
            </w:tcBorders>
            <w:tcMar>
              <w:left w:w="28" w:type="dxa"/>
              <w:right w:w="28" w:type="dxa"/>
            </w:tcMar>
            <w:textDirection w:val="tbRlV"/>
            <w:vAlign w:val="center"/>
          </w:tcPr>
          <w:p>
            <w:pPr>
              <w:widowControl/>
              <w:spacing w:line="360" w:lineRule="auto"/>
              <w:jc w:val="center"/>
              <w:rPr>
                <w:rFonts w:ascii="仿宋" w:hAnsi="仿宋" w:eastAsia="仿宋"/>
                <w:szCs w:val="21"/>
              </w:rPr>
            </w:pPr>
            <w:r>
              <w:rPr>
                <w:rFonts w:hint="eastAsia" w:ascii="仿宋" w:hAnsi="仿宋" w:eastAsia="仿宋"/>
                <w:szCs w:val="21"/>
              </w:rPr>
              <w:t>政治素质</w:t>
            </w:r>
          </w:p>
        </w:tc>
        <w:tc>
          <w:tcPr>
            <w:tcW w:w="2677"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、坚决坚持四项基本原则和正确政治方向，主动和各种错误言论作斗争。</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、坚定共产主义理想和社会主义信念，努力成为有理想、有道德、有文化、有纪律的社会主义建设者和接班人。</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、热爱祖国、热爱人民，乐于为人民服务。</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、思想上积极要求进步，主动参加政治学习。</w:t>
            </w:r>
          </w:p>
        </w:tc>
        <w:tc>
          <w:tcPr>
            <w:tcW w:w="2801"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、坚持四项基本原则和正确的政治方向，能够和各种错误言论作斗争。</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、共产主义理想和社会主义信念较坚定，具有成为有理想、有道德、有文化、有纪律的社会主义建设者和接班人的意识。</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、爱祖国、爱人民，愿意为人民服务。</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、思想上要求进步，较为主动地参加政治学习。</w:t>
            </w:r>
          </w:p>
        </w:tc>
        <w:tc>
          <w:tcPr>
            <w:tcW w:w="2415"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、坚持四项基本原则，具有和各种错误言论作斗争的意识。</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、基本具有共产主义理想、社会主义信念和成为有理想、有道德、有文化、有纪律的社会主义建设者和接班人的意识。</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、爱祖国、爱人民，能够为人民服务。</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、思想上能够要求进步，但对参加政治学习反应较为平淡。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1099" w:type="dxa"/>
            <w:tcBorders>
              <w:top w:val="single" w:color="auto" w:sz="4" w:space="0"/>
              <w:left w:val="single" w:color="auto" w:sz="4" w:space="0"/>
              <w:bottom w:val="single" w:color="auto" w:sz="4" w:space="0"/>
              <w:right w:val="single" w:color="auto" w:sz="4" w:space="0"/>
            </w:tcBorders>
            <w:tcMar>
              <w:left w:w="28" w:type="dxa"/>
              <w:right w:w="28" w:type="dxa"/>
            </w:tcMar>
            <w:textDirection w:val="tbRlV"/>
            <w:vAlign w:val="center"/>
          </w:tcPr>
          <w:p>
            <w:pPr>
              <w:widowControl/>
              <w:spacing w:line="360" w:lineRule="auto"/>
              <w:jc w:val="center"/>
              <w:rPr>
                <w:rFonts w:ascii="仿宋" w:hAnsi="仿宋" w:eastAsia="仿宋"/>
                <w:szCs w:val="21"/>
              </w:rPr>
            </w:pPr>
            <w:r>
              <w:rPr>
                <w:rFonts w:hint="eastAsia" w:ascii="仿宋" w:hAnsi="仿宋" w:eastAsia="仿宋"/>
                <w:szCs w:val="21"/>
              </w:rPr>
              <w:t>道德品质</w:t>
            </w:r>
          </w:p>
        </w:tc>
        <w:tc>
          <w:tcPr>
            <w:tcW w:w="2677"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、自觉做到诚实守信，言行统一。</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、举止谈吐文明，主动尊敬师长、尊重他人。</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、自觉做到勤俭节约，艰苦奋斗。</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、主动爱护公物。</w:t>
            </w:r>
          </w:p>
        </w:tc>
        <w:tc>
          <w:tcPr>
            <w:tcW w:w="2801"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、能够诚实守信，言行统一。</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、能够做到举止谈吐文明，尊敬师长，尊重他人。</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、能够做到勤俭节约，艰苦奋斗。</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、自觉爱护公物。</w:t>
            </w:r>
          </w:p>
        </w:tc>
        <w:tc>
          <w:tcPr>
            <w:tcW w:w="2415"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、基本能够诚实守信，言行统一。</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、基本能做到举止谈吐文明，尊敬师长，尊重他人。</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、较为勤俭节约，艰苦奋斗。</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、能够爱护公物。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 w:hRule="atLeast"/>
        </w:trPr>
        <w:tc>
          <w:tcPr>
            <w:tcW w:w="1099" w:type="dxa"/>
            <w:tcBorders>
              <w:top w:val="single" w:color="auto" w:sz="4" w:space="0"/>
              <w:left w:val="single" w:color="auto" w:sz="4" w:space="0"/>
              <w:bottom w:val="single" w:color="auto" w:sz="4" w:space="0"/>
              <w:right w:val="single" w:color="auto" w:sz="4" w:space="0"/>
            </w:tcBorders>
            <w:tcMar>
              <w:left w:w="28" w:type="dxa"/>
              <w:right w:w="28" w:type="dxa"/>
            </w:tcMar>
            <w:textDirection w:val="tbRlV"/>
            <w:vAlign w:val="center"/>
          </w:tcPr>
          <w:p>
            <w:pPr>
              <w:widowControl/>
              <w:spacing w:line="360" w:lineRule="auto"/>
              <w:jc w:val="center"/>
              <w:rPr>
                <w:rFonts w:ascii="仿宋" w:hAnsi="仿宋" w:eastAsia="仿宋"/>
                <w:szCs w:val="21"/>
              </w:rPr>
            </w:pPr>
            <w:r>
              <w:rPr>
                <w:rFonts w:hint="eastAsia" w:ascii="仿宋" w:hAnsi="仿宋" w:eastAsia="仿宋"/>
                <w:szCs w:val="21"/>
              </w:rPr>
              <w:t>法制观念</w:t>
            </w:r>
          </w:p>
        </w:tc>
        <w:tc>
          <w:tcPr>
            <w:tcW w:w="2677"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、自觉遵纪守法，有较高法律意识。</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、严格遵守学校规章制度。</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、积极学习法律知识，严于律己。</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、主动维护公共秩序和校园环境。</w:t>
            </w:r>
          </w:p>
        </w:tc>
        <w:tc>
          <w:tcPr>
            <w:tcW w:w="2801"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、能够遵纪守法，具有一定法律意识。</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、能够遵守学校规章制度。</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、能够学习法律知识，严于律己。</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、较为自觉维护公共秩序和校园环境。</w:t>
            </w:r>
          </w:p>
        </w:tc>
        <w:tc>
          <w:tcPr>
            <w:tcW w:w="2415"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、遵纪守法，具有基本的法律意识。</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、基本遵守学校规章制度。</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、对学习法律知识反应平淡，律己意识较为淡薄。</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、基本能够维护公共秩序和校园环境。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0" w:hRule="atLeast"/>
        </w:trPr>
        <w:tc>
          <w:tcPr>
            <w:tcW w:w="1099" w:type="dxa"/>
            <w:tcBorders>
              <w:top w:val="single" w:color="auto" w:sz="4" w:space="0"/>
              <w:left w:val="single" w:color="auto" w:sz="4" w:space="0"/>
              <w:bottom w:val="single" w:color="auto" w:sz="4" w:space="0"/>
              <w:right w:val="single" w:color="auto" w:sz="4" w:space="0"/>
            </w:tcBorders>
            <w:tcMar>
              <w:left w:w="28" w:type="dxa"/>
              <w:right w:w="28" w:type="dxa"/>
            </w:tcMar>
            <w:textDirection w:val="tbRlV"/>
            <w:vAlign w:val="center"/>
          </w:tcPr>
          <w:p>
            <w:pPr>
              <w:widowControl/>
              <w:spacing w:line="360" w:lineRule="auto"/>
              <w:jc w:val="center"/>
              <w:rPr>
                <w:rFonts w:ascii="仿宋" w:hAnsi="仿宋" w:eastAsia="仿宋"/>
                <w:szCs w:val="21"/>
              </w:rPr>
            </w:pPr>
            <w:r>
              <w:rPr>
                <w:rFonts w:hint="eastAsia" w:ascii="仿宋" w:hAnsi="仿宋" w:eastAsia="仿宋"/>
                <w:szCs w:val="21"/>
              </w:rPr>
              <w:t>集体观念</w:t>
            </w:r>
          </w:p>
        </w:tc>
        <w:tc>
          <w:tcPr>
            <w:tcW w:w="2677"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、主动关心集体，积极参加集体活动。</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、热心社会工作，热情服务同学。</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、严以律己，宽以待人，维护团结。</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、积极参加公益活动。</w:t>
            </w:r>
          </w:p>
        </w:tc>
        <w:tc>
          <w:tcPr>
            <w:tcW w:w="2801"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、关心集体，参加集体活动。</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、有兴趣参加社会工作，能够服务同学。</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、能够处理好同学之间的关系，维护团结。</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、能够参加公益活动。</w:t>
            </w:r>
          </w:p>
        </w:tc>
        <w:tc>
          <w:tcPr>
            <w:tcW w:w="2415"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、基本能够关心集体，参加集体活动。</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、参加社会工作，基本能够服务同学。</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、基本能够处理好同学之间的关系，维护团结。</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、不能有意识参加公益活动。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4" w:hRule="atLeast"/>
        </w:trPr>
        <w:tc>
          <w:tcPr>
            <w:tcW w:w="1099" w:type="dxa"/>
            <w:tcBorders>
              <w:top w:val="single" w:color="auto" w:sz="4" w:space="0"/>
              <w:left w:val="single" w:color="auto" w:sz="4" w:space="0"/>
              <w:bottom w:val="single" w:color="auto" w:sz="4" w:space="0"/>
              <w:right w:val="single" w:color="auto" w:sz="4" w:space="0"/>
            </w:tcBorders>
            <w:tcMar>
              <w:left w:w="28" w:type="dxa"/>
              <w:right w:w="28" w:type="dxa"/>
            </w:tcMar>
            <w:textDirection w:val="tbRlV"/>
            <w:vAlign w:val="center"/>
          </w:tcPr>
          <w:p>
            <w:pPr>
              <w:widowControl/>
              <w:spacing w:line="360" w:lineRule="auto"/>
              <w:jc w:val="center"/>
              <w:rPr>
                <w:rFonts w:ascii="仿宋" w:hAnsi="仿宋" w:eastAsia="仿宋"/>
                <w:szCs w:val="21"/>
              </w:rPr>
            </w:pPr>
            <w:r>
              <w:rPr>
                <w:rFonts w:hint="eastAsia" w:ascii="仿宋" w:hAnsi="仿宋" w:eastAsia="仿宋"/>
                <w:szCs w:val="21"/>
              </w:rPr>
              <w:t>学习态度</w:t>
            </w:r>
          </w:p>
        </w:tc>
        <w:tc>
          <w:tcPr>
            <w:tcW w:w="2677"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、学习态度端正，学习目标明确，坚持各项学术原则。</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、学习、学术能力强，学习成绩优秀。</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、很好地完成各项学习任务，包括研究院组织的心理健康教育课程、职业技能培训。</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、坚持不迟到、不早退、不旷课。</w:t>
            </w:r>
          </w:p>
        </w:tc>
        <w:tc>
          <w:tcPr>
            <w:tcW w:w="2801"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、学习态度较端正，学习目标较明确，能够遵守各项学术原则。</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、学习、学术能力较强，学习成绩良好。</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、能完成各项学习任务。</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、不迟到、不早退、不旷课。</w:t>
            </w:r>
          </w:p>
        </w:tc>
        <w:tc>
          <w:tcPr>
            <w:tcW w:w="2415" w:type="dxa"/>
            <w:tcBorders>
              <w:top w:val="single" w:color="auto" w:sz="4" w:space="0"/>
              <w:left w:val="single" w:color="auto" w:sz="4" w:space="0"/>
              <w:bottom w:val="single" w:color="auto" w:sz="4" w:space="0"/>
              <w:right w:val="single" w:color="auto" w:sz="4" w:space="0"/>
            </w:tcBorders>
            <w:tcMar>
              <w:left w:w="28" w:type="dxa"/>
              <w:right w:w="28" w:type="dxa"/>
            </w:tcMar>
          </w:tcPr>
          <w:p>
            <w:pPr>
              <w:widowControl/>
              <w:spacing w:line="360" w:lineRule="auto"/>
              <w:jc w:val="left"/>
              <w:rPr>
                <w:rFonts w:ascii="仿宋" w:hAnsi="仿宋" w:eastAsia="仿宋"/>
                <w:szCs w:val="21"/>
              </w:rPr>
            </w:pPr>
            <w:r>
              <w:rPr>
                <w:rFonts w:ascii="仿宋" w:hAnsi="仿宋" w:eastAsia="仿宋"/>
                <w:szCs w:val="21"/>
              </w:rPr>
              <w:t>1</w:t>
            </w:r>
            <w:r>
              <w:rPr>
                <w:rFonts w:hint="eastAsia" w:ascii="仿宋" w:hAnsi="仿宋" w:eastAsia="仿宋"/>
                <w:szCs w:val="21"/>
              </w:rPr>
              <w:t>、学习态度基本端正，学习目标基本明确，基本遵守各项学术原则。</w:t>
            </w:r>
          </w:p>
          <w:p>
            <w:pPr>
              <w:widowControl/>
              <w:spacing w:line="360" w:lineRule="auto"/>
              <w:jc w:val="left"/>
              <w:rPr>
                <w:rFonts w:ascii="仿宋" w:hAnsi="仿宋" w:eastAsia="仿宋"/>
                <w:szCs w:val="21"/>
              </w:rPr>
            </w:pPr>
            <w:r>
              <w:rPr>
                <w:rFonts w:ascii="仿宋" w:hAnsi="仿宋" w:eastAsia="仿宋"/>
                <w:szCs w:val="21"/>
              </w:rPr>
              <w:t>2</w:t>
            </w:r>
            <w:r>
              <w:rPr>
                <w:rFonts w:hint="eastAsia" w:ascii="仿宋" w:hAnsi="仿宋" w:eastAsia="仿宋"/>
                <w:szCs w:val="21"/>
              </w:rPr>
              <w:t>、学习、学术能力和学习成绩一般。</w:t>
            </w:r>
          </w:p>
          <w:p>
            <w:pPr>
              <w:widowControl/>
              <w:spacing w:line="360" w:lineRule="auto"/>
              <w:jc w:val="left"/>
              <w:rPr>
                <w:rFonts w:ascii="仿宋" w:hAnsi="仿宋" w:eastAsia="仿宋"/>
                <w:szCs w:val="21"/>
              </w:rPr>
            </w:pPr>
            <w:r>
              <w:rPr>
                <w:rFonts w:ascii="仿宋" w:hAnsi="仿宋" w:eastAsia="仿宋"/>
                <w:szCs w:val="21"/>
              </w:rPr>
              <w:t>3</w:t>
            </w:r>
            <w:r>
              <w:rPr>
                <w:rFonts w:hint="eastAsia" w:ascii="仿宋" w:hAnsi="仿宋" w:eastAsia="仿宋"/>
                <w:szCs w:val="21"/>
              </w:rPr>
              <w:t>、基本能完成各项学习任务。</w:t>
            </w:r>
          </w:p>
          <w:p>
            <w:pPr>
              <w:widowControl/>
              <w:spacing w:line="360" w:lineRule="auto"/>
              <w:jc w:val="left"/>
              <w:rPr>
                <w:rFonts w:ascii="仿宋" w:hAnsi="仿宋" w:eastAsia="仿宋"/>
                <w:szCs w:val="21"/>
              </w:rPr>
            </w:pPr>
            <w:r>
              <w:rPr>
                <w:rFonts w:ascii="仿宋" w:hAnsi="仿宋" w:eastAsia="仿宋"/>
                <w:szCs w:val="21"/>
              </w:rPr>
              <w:t>4</w:t>
            </w:r>
            <w:r>
              <w:rPr>
                <w:rFonts w:hint="eastAsia" w:ascii="仿宋" w:hAnsi="仿宋" w:eastAsia="仿宋"/>
                <w:szCs w:val="21"/>
              </w:rPr>
              <w:t>、基本不迟到、不早退、不旷课。</w:t>
            </w:r>
          </w:p>
        </w:tc>
      </w:tr>
    </w:tbl>
    <w:p>
      <w:pPr>
        <w:pStyle w:val="14"/>
        <w:spacing w:line="360" w:lineRule="auto"/>
        <w:ind w:left="1455" w:firstLine="0" w:firstLineChars="0"/>
        <w:rPr>
          <w:rFonts w:ascii="仿宋" w:hAnsi="仿宋" w:eastAsia="仿宋" w:cs="宋体"/>
          <w:kern w:val="0"/>
          <w:sz w:val="24"/>
          <w:szCs w:val="24"/>
        </w:rPr>
      </w:pPr>
    </w:p>
    <w:p>
      <w:pPr>
        <w:spacing w:line="360" w:lineRule="auto"/>
        <w:ind w:firstLine="480"/>
        <w:rPr>
          <w:rFonts w:ascii="仿宋" w:hAnsi="仿宋" w:eastAsia="仿宋"/>
          <w:sz w:val="24"/>
          <w:szCs w:val="24"/>
        </w:rPr>
      </w:pPr>
      <w:r>
        <w:rPr>
          <w:rFonts w:hint="eastAsia" w:ascii="仿宋" w:hAnsi="仿宋" w:eastAsia="仿宋"/>
          <w:sz w:val="24"/>
          <w:szCs w:val="24"/>
        </w:rPr>
        <w:t>第六条  特长附加分测评</w:t>
      </w:r>
      <w:r>
        <w:rPr>
          <w:rFonts w:ascii="仿宋" w:hAnsi="仿宋" w:eastAsia="仿宋"/>
          <w:sz w:val="24"/>
          <w:szCs w:val="24"/>
        </w:rPr>
        <w:t>方法</w:t>
      </w:r>
    </w:p>
    <w:p>
      <w:pPr>
        <w:spacing w:line="360" w:lineRule="auto"/>
        <w:ind w:firstLine="480"/>
        <w:rPr>
          <w:rFonts w:ascii="仿宋" w:hAnsi="仿宋" w:eastAsia="仿宋"/>
          <w:sz w:val="24"/>
          <w:szCs w:val="24"/>
        </w:rPr>
      </w:pPr>
      <w:r>
        <w:rPr>
          <w:rFonts w:hint="eastAsia" w:ascii="仿宋" w:hAnsi="仿宋" w:eastAsia="仿宋"/>
          <w:sz w:val="24"/>
          <w:szCs w:val="24"/>
        </w:rPr>
        <w:t>特长附加分</w:t>
      </w:r>
      <w:r>
        <w:rPr>
          <w:rFonts w:ascii="仿宋" w:hAnsi="仿宋" w:eastAsia="仿宋"/>
          <w:sz w:val="24"/>
          <w:szCs w:val="24"/>
        </w:rPr>
        <w:t>共计</w:t>
      </w:r>
      <w:r>
        <w:rPr>
          <w:rFonts w:hint="eastAsia" w:ascii="仿宋" w:hAnsi="仿宋" w:eastAsia="仿宋"/>
          <w:sz w:val="24"/>
          <w:szCs w:val="24"/>
        </w:rPr>
        <w:t>上限10分</w:t>
      </w:r>
      <w:r>
        <w:rPr>
          <w:rFonts w:ascii="仿宋" w:hAnsi="仿宋" w:eastAsia="仿宋"/>
          <w:sz w:val="24"/>
          <w:szCs w:val="24"/>
        </w:rPr>
        <w:t>，</w:t>
      </w:r>
      <w:r>
        <w:rPr>
          <w:rFonts w:hint="eastAsia" w:ascii="仿宋" w:hAnsi="仿宋" w:eastAsia="仿宋"/>
          <w:sz w:val="24"/>
          <w:szCs w:val="24"/>
        </w:rPr>
        <w:t>包括日常活动附加分、文艺与文学创作附加分。</w:t>
      </w:r>
    </w:p>
    <w:p>
      <w:pPr>
        <w:pStyle w:val="14"/>
        <w:numPr>
          <w:ilvl w:val="0"/>
          <w:numId w:val="2"/>
        </w:numPr>
        <w:spacing w:line="360" w:lineRule="auto"/>
        <w:ind w:firstLineChars="0"/>
        <w:rPr>
          <w:rFonts w:ascii="仿宋" w:hAnsi="仿宋" w:eastAsia="仿宋"/>
          <w:sz w:val="24"/>
          <w:szCs w:val="24"/>
        </w:rPr>
      </w:pPr>
      <w:r>
        <w:rPr>
          <w:rFonts w:hint="eastAsia" w:ascii="仿宋" w:hAnsi="仿宋" w:eastAsia="仿宋"/>
          <w:sz w:val="24"/>
          <w:szCs w:val="24"/>
        </w:rPr>
        <w:t>日常活动附加分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日常活动附加分包含学术科技竞赛获奖、文体活动获奖、志愿服务、社会实践、各级荣誉、学生骨干加分等几项。具体加分额度如下：</w:t>
      </w:r>
    </w:p>
    <w:p>
      <w:pPr>
        <w:pStyle w:val="14"/>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学术科技竞赛获奖</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参加由学校组织推荐，经研究生院、团委、研究院（学部、学院</w:t>
      </w:r>
      <w:r>
        <w:rPr>
          <w:rFonts w:ascii="仿宋" w:hAnsi="仿宋" w:eastAsia="仿宋"/>
          <w:sz w:val="24"/>
          <w:szCs w:val="24"/>
        </w:rPr>
        <w:t>）</w:t>
      </w:r>
      <w:r>
        <w:rPr>
          <w:rFonts w:hint="eastAsia" w:ascii="仿宋" w:hAnsi="仿宋" w:eastAsia="仿宋"/>
          <w:sz w:val="24"/>
          <w:szCs w:val="24"/>
        </w:rPr>
        <w:t>认可的学术、科技竞赛获奖者，按规定予以加分。同类项目不得累计加分，按最好成绩计算。学生个人参加社会、企业、团体组织的比赛，不予加分。加分细则如下：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1263"/>
        <w:gridCol w:w="1263"/>
        <w:gridCol w:w="1263"/>
        <w:gridCol w:w="126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right"/>
              <w:rPr>
                <w:rFonts w:ascii="仿宋" w:hAnsi="仿宋" w:eastAsia="仿宋"/>
                <w:b/>
                <w:sz w:val="24"/>
                <w:szCs w:val="24"/>
              </w:rPr>
            </w:pPr>
            <w:r>
              <w:rPr>
                <w:rFonts w:hint="eastAsia" w:ascii="仿宋" w:hAnsi="仿宋" w:eastAsia="仿宋"/>
                <w:sz w:val="24"/>
                <w:szCs w:val="24"/>
              </w:rPr>
              <mc:AlternateContent>
                <mc:Choice Requires="wps">
                  <w:drawing>
                    <wp:anchor distT="0" distB="0" distL="114300" distR="114300" simplePos="0" relativeHeight="251669504" behindDoc="0" locked="0" layoutInCell="1" allowOverlap="1">
                      <wp:simplePos x="0" y="0"/>
                      <wp:positionH relativeFrom="column">
                        <wp:posOffset>-39370</wp:posOffset>
                      </wp:positionH>
                      <wp:positionV relativeFrom="paragraph">
                        <wp:posOffset>11430</wp:posOffset>
                      </wp:positionV>
                      <wp:extent cx="715010" cy="890270"/>
                      <wp:effectExtent l="0" t="0" r="27940" b="24130"/>
                      <wp:wrapNone/>
                      <wp:docPr id="1" name="直接连接符 1"/>
                      <wp:cNvGraphicFramePr/>
                      <a:graphic xmlns:a="http://schemas.openxmlformats.org/drawingml/2006/main">
                        <a:graphicData uri="http://schemas.microsoft.com/office/word/2010/wordprocessingShape">
                          <wps:wsp>
                            <wps:cNvCnPr/>
                            <wps:spPr>
                              <a:xfrm>
                                <a:off x="0" y="0"/>
                                <a:ext cx="715010" cy="890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pt;margin-top:0.9pt;height:70.1pt;width:56.3pt;z-index:251669504;mso-width-relative:page;mso-height-relative:page;" filled="f" stroked="t" coordsize="21600,21600" o:gfxdata="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4IsIz1QAAAAgBAAAPAAAAAAAAAAEAIAAAACIAAABkcnMvZG93bnJldi54bWxQ&#10;SwECFAAUAAAACACHTuJARJRLMMEBAABQAwAADgAAAAAAAAABACAAAAAkAQAAZHJzL2Uyb0RvYy54&#10;bWxQSwUGAAAAAAYABgBZAQAAVwUAAAAA&#10;">
                      <v:fill on="f" focussize="0,0"/>
                      <v:stroke color="#000000 [3213]" joinstyle="round"/>
                      <v:imagedata o:title=""/>
                      <o:lock v:ext="edit" aspectratio="f"/>
                    </v:line>
                  </w:pict>
                </mc:Fallback>
              </mc:AlternateContent>
            </w:r>
            <w:r>
              <w:rPr>
                <w:rFonts w:ascii="仿宋" w:hAnsi="仿宋" w:eastAsia="仿宋"/>
                <w:b/>
                <w:sz w:val="24"/>
                <w:szCs w:val="24"/>
              </w:rPr>
              <mc:AlternateContent>
                <mc:Choice Requires="wps">
                  <w:drawing>
                    <wp:anchor distT="0" distB="0" distL="114300" distR="114300" simplePos="0" relativeHeight="251668480" behindDoc="0" locked="0" layoutInCell="1" allowOverlap="1">
                      <wp:simplePos x="0" y="0"/>
                      <wp:positionH relativeFrom="column">
                        <wp:posOffset>-39370</wp:posOffset>
                      </wp:positionH>
                      <wp:positionV relativeFrom="paragraph">
                        <wp:posOffset>12065</wp:posOffset>
                      </wp:positionV>
                      <wp:extent cx="1391285" cy="309880"/>
                      <wp:effectExtent l="0" t="0" r="18415" b="33020"/>
                      <wp:wrapNone/>
                      <wp:docPr id="35" name="直接箭头连接符 35"/>
                      <wp:cNvGraphicFramePr/>
                      <a:graphic xmlns:a="http://schemas.openxmlformats.org/drawingml/2006/main">
                        <a:graphicData uri="http://schemas.microsoft.com/office/word/2010/wordprocessingShape">
                          <wps:wsp>
                            <wps:cNvCnPr>
                              <a:cxnSpLocks noChangeShapeType="1"/>
                            </wps:cNvCnPr>
                            <wps:spPr bwMode="auto">
                              <a:xfrm>
                                <a:off x="0" y="0"/>
                                <a:ext cx="1391285" cy="30988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pt;margin-top:0.95pt;height:24.4pt;width:109.55pt;z-index:251668480;mso-width-relative:page;mso-height-relative:page;" filled="f" stroked="t" coordsize="21600,21600" o:gfxdata="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kzQedUAAAAHAQAADwAAAAAAAAABACAA&#10;AAAiAAAAZHJzL2Rvd25yZXYueG1sUEsBAhQAFAAAAAgAh07iQEv/MogQAgAA4AMAAA4AAAAAAAAA&#10;AQAgAAAAJAEAAGRycy9lMm9Eb2MueG1sUEsFBgAAAAAGAAYAWQEAAKYFAAAAAA==&#10;">
                      <v:fill on="f" focussize="0,0"/>
                      <v:stroke color="#000000 [3200]" joinstyle="round"/>
                      <v:imagedata o:title=""/>
                      <o:lock v:ext="edit" aspectratio="f"/>
                    </v:shape>
                  </w:pict>
                </mc:Fallback>
              </mc:AlternateContent>
            </w:r>
            <w:r>
              <w:rPr>
                <w:rFonts w:hint="eastAsia" w:ascii="仿宋" w:hAnsi="仿宋" w:eastAsia="仿宋"/>
                <w:b/>
                <w:sz w:val="24"/>
                <w:szCs w:val="24"/>
              </w:rPr>
              <w:t>名次</w:t>
            </w:r>
          </w:p>
          <w:p>
            <w:pPr>
              <w:snapToGrid w:val="0"/>
              <w:spacing w:line="360" w:lineRule="auto"/>
              <w:ind w:firstLine="708" w:firstLineChars="294"/>
              <w:rPr>
                <w:rFonts w:ascii="仿宋" w:hAnsi="仿宋" w:eastAsia="仿宋"/>
                <w:b/>
                <w:sz w:val="24"/>
                <w:szCs w:val="24"/>
              </w:rPr>
            </w:pPr>
            <w:r>
              <w:rPr>
                <w:rFonts w:hint="eastAsia" w:ascii="仿宋" w:hAnsi="仿宋" w:eastAsia="仿宋"/>
                <w:b/>
                <w:sz w:val="24"/>
                <w:szCs w:val="24"/>
              </w:rPr>
              <w:t>分值</w:t>
            </w:r>
            <w:r>
              <w:rPr>
                <w:rFonts w:ascii="仿宋" w:hAnsi="仿宋" w:eastAsia="仿宋"/>
                <w:b/>
                <w:sz w:val="24"/>
                <w:szCs w:val="24"/>
              </w:rPr>
              <w:t xml:space="preserve"> </w:t>
            </w:r>
          </w:p>
          <w:p>
            <w:pPr>
              <w:snapToGrid w:val="0"/>
              <w:spacing w:line="360" w:lineRule="auto"/>
              <w:jc w:val="left"/>
              <w:rPr>
                <w:rFonts w:ascii="仿宋" w:hAnsi="仿宋" w:eastAsia="仿宋"/>
                <w:b/>
                <w:sz w:val="24"/>
                <w:szCs w:val="24"/>
              </w:rPr>
            </w:pPr>
            <w:r>
              <w:rPr>
                <w:rFonts w:hint="eastAsia" w:ascii="仿宋" w:hAnsi="仿宋" w:eastAsia="仿宋"/>
                <w:b/>
                <w:sz w:val="24"/>
                <w:szCs w:val="24"/>
              </w:rPr>
              <w:t>级别</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一等奖</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二等奖</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三等奖</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优秀奖</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color w:val="FF0000"/>
                <w:sz w:val="24"/>
                <w:szCs w:val="24"/>
              </w:rPr>
            </w:pPr>
            <w:r>
              <w:rPr>
                <w:rFonts w:hint="eastAsia" w:ascii="仿宋" w:hAnsi="仿宋" w:eastAsia="仿宋"/>
                <w:b/>
                <w:sz w:val="24"/>
                <w:szCs w:val="24"/>
              </w:rPr>
              <w:t>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国家级</w:t>
            </w:r>
          </w:p>
          <w:p>
            <w:pPr>
              <w:spacing w:line="360" w:lineRule="auto"/>
              <w:jc w:val="center"/>
              <w:rPr>
                <w:rFonts w:ascii="仿宋" w:hAnsi="仿宋" w:eastAsia="仿宋"/>
                <w:sz w:val="24"/>
                <w:szCs w:val="24"/>
              </w:rPr>
            </w:pPr>
            <w:r>
              <w:rPr>
                <w:rFonts w:hint="eastAsia" w:ascii="仿宋" w:hAnsi="仿宋" w:eastAsia="仿宋"/>
                <w:sz w:val="24"/>
                <w:szCs w:val="24"/>
              </w:rPr>
              <w:t>（含国际级）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4</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3.5</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3</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2</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省、市级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3</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2.5</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2</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区县</w:t>
            </w:r>
            <w:r>
              <w:rPr>
                <w:rFonts w:ascii="仿宋" w:hAnsi="仿宋" w:eastAsia="仿宋"/>
                <w:sz w:val="24"/>
                <w:szCs w:val="24"/>
              </w:rPr>
              <w:t>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2.5</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2</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1.5</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0.8</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校</w:t>
            </w:r>
            <w:r>
              <w:rPr>
                <w:rFonts w:ascii="仿宋" w:hAnsi="仿宋" w:eastAsia="仿宋"/>
                <w:sz w:val="24"/>
                <w:szCs w:val="24"/>
              </w:rPr>
              <w:t xml:space="preserve">  </w:t>
            </w:r>
            <w:r>
              <w:rPr>
                <w:rFonts w:hint="eastAsia" w:ascii="仿宋" w:hAnsi="仿宋" w:eastAsia="仿宋"/>
                <w:sz w:val="24"/>
                <w:szCs w:val="24"/>
              </w:rPr>
              <w:t>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2</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1.5</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0.6</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4"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院系级</w:t>
            </w:r>
          </w:p>
        </w:tc>
        <w:tc>
          <w:tcPr>
            <w:tcW w:w="74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1</w:t>
            </w:r>
          </w:p>
        </w:tc>
        <w:tc>
          <w:tcPr>
            <w:tcW w:w="74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0.7</w:t>
            </w:r>
          </w:p>
        </w:tc>
        <w:tc>
          <w:tcPr>
            <w:tcW w:w="74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0.5</w:t>
            </w:r>
          </w:p>
        </w:tc>
        <w:tc>
          <w:tcPr>
            <w:tcW w:w="74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0.3</w:t>
            </w:r>
          </w:p>
        </w:tc>
        <w:tc>
          <w:tcPr>
            <w:tcW w:w="741"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0.2</w:t>
            </w:r>
          </w:p>
        </w:tc>
      </w:tr>
    </w:tbl>
    <w:p>
      <w:pPr>
        <w:spacing w:line="360" w:lineRule="auto"/>
        <w:rPr>
          <w:rFonts w:ascii="仿宋" w:hAnsi="仿宋" w:eastAsia="仿宋"/>
          <w:sz w:val="24"/>
          <w:szCs w:val="24"/>
        </w:rPr>
      </w:pPr>
    </w:p>
    <w:p>
      <w:pPr>
        <w:pStyle w:val="14"/>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文体活动获奖</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参加学校组织推荐，经学生处、团委、研究院（学部、学院</w:t>
      </w:r>
      <w:r>
        <w:rPr>
          <w:rFonts w:ascii="仿宋" w:hAnsi="仿宋" w:eastAsia="仿宋"/>
          <w:sz w:val="24"/>
          <w:szCs w:val="24"/>
        </w:rPr>
        <w:t>）</w:t>
      </w:r>
      <w:r>
        <w:rPr>
          <w:rFonts w:hint="eastAsia" w:ascii="仿宋" w:hAnsi="仿宋" w:eastAsia="仿宋"/>
          <w:sz w:val="24"/>
          <w:szCs w:val="24"/>
        </w:rPr>
        <w:t>认可的文体、实践比赛获奖者，按规定予以加分。同类项目不得累计加分，按最好成绩计算。学生个人参加社会、企业、团体组织的比赛，不予加分。加分细则如下：</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6"/>
        <w:gridCol w:w="1263"/>
        <w:gridCol w:w="1263"/>
        <w:gridCol w:w="1263"/>
        <w:gridCol w:w="1263"/>
        <w:gridCol w:w="1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5" w:hRule="atLeast"/>
          <w:jc w:val="center"/>
        </w:trPr>
        <w:tc>
          <w:tcPr>
            <w:tcW w:w="1294" w:type="pc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right"/>
              <w:rPr>
                <w:rFonts w:ascii="仿宋" w:hAnsi="仿宋" w:eastAsia="仿宋"/>
                <w:b/>
                <w:sz w:val="24"/>
                <w:szCs w:val="24"/>
              </w:rPr>
            </w:pPr>
            <w:r>
              <w:rPr>
                <w:rFonts w:ascii="仿宋" w:hAnsi="仿宋" w:eastAsia="仿宋"/>
                <w:b/>
                <w:sz w:val="24"/>
                <w:szCs w:val="24"/>
              </w:rPr>
              <mc:AlternateContent>
                <mc:Choice Requires="wps">
                  <w:drawing>
                    <wp:anchor distT="0" distB="0" distL="114300" distR="114300" simplePos="0" relativeHeight="251657216" behindDoc="0" locked="0" layoutInCell="1" allowOverlap="1">
                      <wp:simplePos x="0" y="0"/>
                      <wp:positionH relativeFrom="column">
                        <wp:posOffset>-56515</wp:posOffset>
                      </wp:positionH>
                      <wp:positionV relativeFrom="paragraph">
                        <wp:posOffset>14605</wp:posOffset>
                      </wp:positionV>
                      <wp:extent cx="790575" cy="847725"/>
                      <wp:effectExtent l="0" t="0" r="28575" b="28575"/>
                      <wp:wrapNone/>
                      <wp:docPr id="34" name="直接箭头连接符 34"/>
                      <wp:cNvGraphicFramePr/>
                      <a:graphic xmlns:a="http://schemas.openxmlformats.org/drawingml/2006/main">
                        <a:graphicData uri="http://schemas.microsoft.com/office/word/2010/wordprocessingShape">
                          <wps:wsp>
                            <wps:cNvCnPr>
                              <a:cxnSpLocks noChangeShapeType="1"/>
                            </wps:cNvCnPr>
                            <wps:spPr bwMode="auto">
                              <a:xfrm>
                                <a:off x="0" y="0"/>
                                <a:ext cx="790575" cy="8477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45pt;margin-top:1.15pt;height:66.75pt;width:62.25pt;z-index:251657216;mso-width-relative:page;mso-height-relative:page;" filled="f" stroked="t" coordsize="21600,21600" o:gfxdata="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ud+v7XAAAACAEAAA8A&#10;AAAAAAAAAQAgAAAAIgAAAGRycy9kb3ducmV2LnhtbFBLAQIUABQAAAAIAIdO4kDOxOI33wEAAHYD&#10;AAAOAAAAAAAAAAEAIAAAACYBAABkcnMvZTJvRG9jLnhtbFBLBQYAAAAABgAGAFkBAAB3BQAAAAA=&#10;">
                      <v:fill on="f" focussize="0,0"/>
                      <v:stroke color="#000000" joinstyle="round"/>
                      <v:imagedata o:title=""/>
                      <o:lock v:ext="edit" aspectratio="f"/>
                    </v:shape>
                  </w:pict>
                </mc:Fallback>
              </mc:AlternateContent>
            </w:r>
            <w:r>
              <w:rPr>
                <w:rFonts w:ascii="仿宋" w:hAnsi="仿宋" w:eastAsia="仿宋"/>
                <w:b/>
                <w:sz w:val="24"/>
                <w:szCs w:val="24"/>
              </w:rPr>
              <mc:AlternateContent>
                <mc:Choice Requires="wps">
                  <w:drawing>
                    <wp:anchor distT="0" distB="0" distL="114300" distR="114300" simplePos="0" relativeHeight="251655168" behindDoc="0" locked="0" layoutInCell="1" allowOverlap="1">
                      <wp:simplePos x="0" y="0"/>
                      <wp:positionH relativeFrom="column">
                        <wp:posOffset>-17780</wp:posOffset>
                      </wp:positionH>
                      <wp:positionV relativeFrom="paragraph">
                        <wp:posOffset>33020</wp:posOffset>
                      </wp:positionV>
                      <wp:extent cx="1333500" cy="333375"/>
                      <wp:effectExtent l="0" t="0" r="19050" b="28575"/>
                      <wp:wrapNone/>
                      <wp:docPr id="33" name="直接箭头连接符 33"/>
                      <wp:cNvGraphicFramePr/>
                      <a:graphic xmlns:a="http://schemas.openxmlformats.org/drawingml/2006/main">
                        <a:graphicData uri="http://schemas.microsoft.com/office/word/2010/wordprocessingShape">
                          <wps:wsp>
                            <wps:cNvCnPr>
                              <a:cxnSpLocks noChangeShapeType="1"/>
                            </wps:cNvCnPr>
                            <wps:spPr bwMode="auto">
                              <a:xfrm>
                                <a:off x="0" y="0"/>
                                <a:ext cx="1333500" cy="33337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4pt;margin-top:2.6pt;height:26.25pt;width:105pt;z-index:251655168;mso-width-relative:page;mso-height-relative:page;" filled="f" stroked="t" coordsize="21600,21600" o:gfxdata="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fsf4TVAAAABwEAAA8AAAAA&#10;AAAAAQAgAAAAIgAAAGRycy9kb3ducmV2LnhtbFBLAQIUABQAAAAIAIdO4kBqZFar3gEAAHcDAAAO&#10;AAAAAAAAAAEAIAAAACQBAABkcnMvZTJvRG9jLnhtbFBLBQYAAAAABgAGAFkBAAB0BQAAAAA=&#10;">
                      <v:fill on="f" focussize="0,0"/>
                      <v:stroke color="#000000" joinstyle="round"/>
                      <v:imagedata o:title=""/>
                      <o:lock v:ext="edit" aspectratio="f"/>
                    </v:shape>
                  </w:pict>
                </mc:Fallback>
              </mc:AlternateContent>
            </w:r>
            <w:r>
              <w:rPr>
                <w:rFonts w:hint="eastAsia" w:ascii="仿宋" w:hAnsi="仿宋" w:eastAsia="仿宋"/>
                <w:b/>
                <w:sz w:val="24"/>
                <w:szCs w:val="24"/>
              </w:rPr>
              <w:t>名次</w:t>
            </w:r>
          </w:p>
          <w:p>
            <w:pPr>
              <w:snapToGrid w:val="0"/>
              <w:spacing w:line="360" w:lineRule="auto"/>
              <w:ind w:right="430"/>
              <w:jc w:val="right"/>
              <w:rPr>
                <w:rFonts w:ascii="仿宋" w:hAnsi="仿宋" w:eastAsia="仿宋"/>
                <w:b/>
                <w:sz w:val="24"/>
                <w:szCs w:val="24"/>
              </w:rPr>
            </w:pPr>
            <w:r>
              <w:rPr>
                <w:rFonts w:hint="eastAsia" w:ascii="仿宋" w:hAnsi="仿宋" w:eastAsia="仿宋"/>
                <w:b/>
                <w:sz w:val="24"/>
                <w:szCs w:val="24"/>
              </w:rPr>
              <w:t>分值</w:t>
            </w:r>
            <w:r>
              <w:rPr>
                <w:rFonts w:ascii="仿宋" w:hAnsi="仿宋" w:eastAsia="仿宋"/>
                <w:b/>
                <w:sz w:val="24"/>
                <w:szCs w:val="24"/>
              </w:rPr>
              <w:t xml:space="preserve"> </w:t>
            </w:r>
          </w:p>
          <w:p>
            <w:pPr>
              <w:spacing w:line="360" w:lineRule="auto"/>
              <w:rPr>
                <w:rFonts w:ascii="仿宋" w:hAnsi="仿宋" w:eastAsia="仿宋"/>
                <w:b/>
                <w:sz w:val="24"/>
                <w:szCs w:val="24"/>
              </w:rPr>
            </w:pPr>
            <w:r>
              <w:rPr>
                <w:rFonts w:hint="eastAsia" w:ascii="仿宋" w:hAnsi="仿宋" w:eastAsia="仿宋"/>
                <w:b/>
                <w:sz w:val="24"/>
                <w:szCs w:val="24"/>
              </w:rPr>
              <w:t>级别</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一等奖</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二等奖</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三等奖</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优秀奖</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b/>
                <w:sz w:val="24"/>
                <w:szCs w:val="24"/>
              </w:rPr>
            </w:pPr>
            <w:r>
              <w:rPr>
                <w:rFonts w:hint="eastAsia" w:ascii="仿宋" w:hAnsi="仿宋" w:eastAsia="仿宋"/>
                <w:b/>
                <w:sz w:val="24"/>
                <w:szCs w:val="24"/>
              </w:rPr>
              <w:t>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国家级</w:t>
            </w:r>
          </w:p>
          <w:p>
            <w:pPr>
              <w:spacing w:line="360" w:lineRule="auto"/>
              <w:jc w:val="center"/>
              <w:rPr>
                <w:rFonts w:ascii="仿宋" w:hAnsi="仿宋" w:eastAsia="仿宋"/>
                <w:sz w:val="24"/>
                <w:szCs w:val="24"/>
              </w:rPr>
            </w:pPr>
            <w:r>
              <w:rPr>
                <w:rFonts w:hint="eastAsia" w:ascii="仿宋" w:hAnsi="仿宋" w:eastAsia="仿宋"/>
                <w:sz w:val="24"/>
                <w:szCs w:val="24"/>
              </w:rPr>
              <w:t>（含国际级）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2</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1.5</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0.8</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省市级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1.6</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1.2</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0.6</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区</w:t>
            </w:r>
            <w:r>
              <w:rPr>
                <w:rFonts w:ascii="仿宋" w:hAnsi="仿宋" w:eastAsia="仿宋"/>
                <w:sz w:val="24"/>
                <w:szCs w:val="24"/>
              </w:rPr>
              <w:t>县级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1.2</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0.9</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0.6</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0.4</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校</w:t>
            </w:r>
            <w:r>
              <w:rPr>
                <w:rFonts w:ascii="仿宋" w:hAnsi="仿宋" w:eastAsia="仿宋"/>
                <w:sz w:val="24"/>
                <w:szCs w:val="24"/>
              </w:rPr>
              <w:t xml:space="preserve">  </w:t>
            </w:r>
            <w:r>
              <w:rPr>
                <w:rFonts w:hint="eastAsia" w:ascii="仿宋" w:hAnsi="仿宋" w:eastAsia="仿宋"/>
                <w:sz w:val="24"/>
                <w:szCs w:val="24"/>
              </w:rPr>
              <w:t>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0.8</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0.6</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0.4</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0.3</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9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院系级</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0.5</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0.4</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0.3</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0.2</w:t>
            </w:r>
          </w:p>
        </w:tc>
        <w:tc>
          <w:tcPr>
            <w:tcW w:w="7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0.1</w:t>
            </w:r>
          </w:p>
        </w:tc>
      </w:tr>
    </w:tbl>
    <w:p>
      <w:pPr>
        <w:spacing w:line="360" w:lineRule="auto"/>
        <w:ind w:firstLine="480" w:firstLineChars="200"/>
        <w:rPr>
          <w:rFonts w:ascii="仿宋" w:hAnsi="仿宋" w:eastAsia="仿宋"/>
          <w:sz w:val="24"/>
          <w:szCs w:val="24"/>
        </w:rPr>
      </w:pPr>
      <w:r>
        <w:rPr>
          <w:rFonts w:hint="eastAsia" w:ascii="仿宋" w:hAnsi="仿宋" w:eastAsia="仿宋"/>
          <w:sz w:val="24"/>
          <w:szCs w:val="24"/>
        </w:rPr>
        <w:t>说明</w:t>
      </w:r>
      <w:r>
        <w:rPr>
          <w:rFonts w:ascii="仿宋" w:hAnsi="仿宋" w:eastAsia="仿宋"/>
          <w:sz w:val="24"/>
          <w:szCs w:val="24"/>
        </w:rPr>
        <w:t>：运动类比赛根据取名次情况按照文体活动类标准加分。取</w:t>
      </w:r>
      <w:r>
        <w:rPr>
          <w:rFonts w:hint="eastAsia" w:ascii="仿宋" w:hAnsi="仿宋" w:eastAsia="仿宋"/>
          <w:sz w:val="24"/>
          <w:szCs w:val="24"/>
        </w:rPr>
        <w:t>前</w:t>
      </w:r>
      <w:r>
        <w:rPr>
          <w:rFonts w:ascii="仿宋" w:hAnsi="仿宋" w:eastAsia="仿宋"/>
          <w:sz w:val="24"/>
          <w:szCs w:val="24"/>
        </w:rPr>
        <w:t>八名者，按第一、二</w:t>
      </w:r>
      <w:r>
        <w:rPr>
          <w:rFonts w:hint="eastAsia" w:ascii="仿宋" w:hAnsi="仿宋" w:eastAsia="仿宋"/>
          <w:sz w:val="24"/>
          <w:szCs w:val="24"/>
        </w:rPr>
        <w:t>名</w:t>
      </w:r>
      <w:r>
        <w:rPr>
          <w:rFonts w:ascii="仿宋" w:hAnsi="仿宋" w:eastAsia="仿宋"/>
          <w:sz w:val="24"/>
          <w:szCs w:val="24"/>
        </w:rPr>
        <w:t>按一等奖计，</w:t>
      </w:r>
      <w:r>
        <w:rPr>
          <w:rFonts w:hint="eastAsia" w:ascii="仿宋" w:hAnsi="仿宋" w:eastAsia="仿宋"/>
          <w:sz w:val="24"/>
          <w:szCs w:val="24"/>
        </w:rPr>
        <w:t>第</w:t>
      </w:r>
      <w:r>
        <w:rPr>
          <w:rFonts w:ascii="仿宋" w:hAnsi="仿宋" w:eastAsia="仿宋"/>
          <w:sz w:val="24"/>
          <w:szCs w:val="24"/>
        </w:rPr>
        <w:t>三、四</w:t>
      </w:r>
      <w:r>
        <w:rPr>
          <w:rFonts w:hint="eastAsia" w:ascii="仿宋" w:hAnsi="仿宋" w:eastAsia="仿宋"/>
          <w:sz w:val="24"/>
          <w:szCs w:val="24"/>
        </w:rPr>
        <w:t>、</w:t>
      </w:r>
      <w:r>
        <w:rPr>
          <w:rFonts w:ascii="仿宋" w:hAnsi="仿宋" w:eastAsia="仿宋"/>
          <w:sz w:val="24"/>
          <w:szCs w:val="24"/>
        </w:rPr>
        <w:t>五名按二等奖计，第六、七、八名按三等奖计。取</w:t>
      </w:r>
      <w:r>
        <w:rPr>
          <w:rFonts w:hint="eastAsia" w:ascii="仿宋" w:hAnsi="仿宋" w:eastAsia="仿宋"/>
          <w:sz w:val="24"/>
          <w:szCs w:val="24"/>
        </w:rPr>
        <w:t>前</w:t>
      </w:r>
      <w:r>
        <w:rPr>
          <w:rFonts w:ascii="仿宋" w:hAnsi="仿宋" w:eastAsia="仿宋"/>
          <w:sz w:val="24"/>
          <w:szCs w:val="24"/>
        </w:rPr>
        <w:t>六名者，按第一、二名按一等奖计，第三、四名按二等奖计，第五、六名按三等奖计。</w:t>
      </w:r>
    </w:p>
    <w:p>
      <w:pPr>
        <w:pStyle w:val="14"/>
        <w:spacing w:line="360" w:lineRule="auto"/>
        <w:ind w:left="1815" w:firstLine="0" w:firstLineChars="0"/>
        <w:rPr>
          <w:rFonts w:ascii="仿宋" w:hAnsi="仿宋" w:eastAsia="仿宋"/>
          <w:sz w:val="24"/>
          <w:szCs w:val="24"/>
        </w:rPr>
      </w:pPr>
    </w:p>
    <w:p>
      <w:pPr>
        <w:pStyle w:val="14"/>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各级荣誉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同类荣誉按获得最高分算，不同类荣誉可累加。</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127"/>
        <w:gridCol w:w="2125"/>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5" w:hRule="atLeast"/>
          <w:jc w:val="center"/>
        </w:trPr>
        <w:tc>
          <w:tcPr>
            <w:tcW w:w="812" w:type="pct"/>
            <w:tcBorders>
              <w:top w:val="single" w:color="auto" w:sz="4" w:space="0"/>
              <w:left w:val="single" w:color="auto" w:sz="4" w:space="0"/>
              <w:bottom w:val="single" w:color="auto" w:sz="4" w:space="0"/>
              <w:right w:val="single" w:color="auto" w:sz="4" w:space="0"/>
            </w:tcBorders>
          </w:tcPr>
          <w:p>
            <w:pPr>
              <w:snapToGrid w:val="0"/>
              <w:spacing w:line="360" w:lineRule="auto"/>
              <w:jc w:val="left"/>
              <w:rPr>
                <w:rFonts w:ascii="仿宋" w:hAnsi="仿宋" w:eastAsia="仿宋"/>
                <w:b/>
                <w:sz w:val="24"/>
                <w:szCs w:val="24"/>
              </w:rPr>
            </w:pPr>
            <w:r>
              <w:rPr>
                <w:rFonts w:ascii="仿宋" w:hAnsi="仿宋" w:eastAsia="仿宋"/>
                <w:b/>
                <w:sz w:val="24"/>
                <w:szCs w:val="24"/>
              </w:rP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635</wp:posOffset>
                      </wp:positionV>
                      <wp:extent cx="519430" cy="1485900"/>
                      <wp:effectExtent l="0" t="0" r="33655" b="19050"/>
                      <wp:wrapNone/>
                      <wp:docPr id="32" name="直接箭头连接符 32"/>
                      <wp:cNvGraphicFramePr/>
                      <a:graphic xmlns:a="http://schemas.openxmlformats.org/drawingml/2006/main">
                        <a:graphicData uri="http://schemas.microsoft.com/office/word/2010/wordprocessingShape">
                          <wps:wsp>
                            <wps:cNvCnPr>
                              <a:cxnSpLocks noChangeShapeType="1"/>
                            </wps:cNvCnPr>
                            <wps:spPr bwMode="auto">
                              <a:xfrm>
                                <a:off x="0" y="0"/>
                                <a:ext cx="519379" cy="148590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75pt;margin-top:0.05pt;height:117pt;width:40.9pt;z-index:251663360;mso-width-relative:page;mso-height-relative:page;" filled="f" stroked="t" coordsize="21600,21600" o:gfxdata="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V0iL1QAAAAYBAAAP&#10;AAAAAAAAAAEAIAAAACIAAABkcnMvZG93bnJldi54bWxQSwECFAAUAAAACACHTuJArwjeneIBAAB3&#10;AwAADgAAAAAAAAABACAAAAAkAQAAZHJzL2Uyb0RvYy54bWxQSwUGAAAAAAYABgBZAQAAeAUAAAAA&#10;">
                      <v:fill on="f" focussize="0,0"/>
                      <v:stroke color="#000000" joinstyle="round"/>
                      <v:imagedata o:title=""/>
                      <o:lock v:ext="edit" aspectratio="f"/>
                    </v:shape>
                  </w:pict>
                </mc:Fallback>
              </mc:AlternateContent>
            </w:r>
            <w:r>
              <w:rPr>
                <w:rFonts w:ascii="仿宋" w:hAnsi="仿宋" w:eastAsia="仿宋"/>
                <w:b/>
                <w:sz w:val="24"/>
                <w:szCs w:val="24"/>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22860</wp:posOffset>
                      </wp:positionV>
                      <wp:extent cx="848360" cy="775335"/>
                      <wp:effectExtent l="0" t="0" r="27940" b="24765"/>
                      <wp:wrapNone/>
                      <wp:docPr id="31" name="直接箭头连接符 31"/>
                      <wp:cNvGraphicFramePr/>
                      <a:graphic xmlns:a="http://schemas.openxmlformats.org/drawingml/2006/main">
                        <a:graphicData uri="http://schemas.microsoft.com/office/word/2010/wordprocessingShape">
                          <wps:wsp>
                            <wps:cNvCnPr>
                              <a:cxnSpLocks noChangeShapeType="1"/>
                            </wps:cNvCnPr>
                            <wps:spPr bwMode="auto">
                              <a:xfrm flipH="1" flipV="1">
                                <a:off x="0" y="0"/>
                                <a:ext cx="848563" cy="775411"/>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x y;margin-left:-3.6pt;margin-top:1.8pt;height:61.05pt;width:66.8pt;z-index:251658240;mso-width-relative:page;mso-height-relative:page;" filled="f" stroked="t" coordsize="21600,21600" o:gfxdata="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IE&#10;xN/ZAAAACAEAAA8AAAAAAAAAAQAgAAAAIgAAAGRycy9kb3ducmV2LnhtbFBLAQIUABQAAAAIAIdO&#10;4kDofH1B6QEAAIoDAAAOAAAAAAAAAAEAIAAAACgBAABkcnMvZTJvRG9jLnhtbFBLBQYAAAAABgAG&#10;AFkBAACDBQAAAAA=&#10;">
                      <v:fill on="f" focussize="0,0"/>
                      <v:stroke color="#000000" joinstyle="round"/>
                      <v:imagedata o:title=""/>
                      <o:lock v:ext="edit" aspectratio="f"/>
                    </v:shape>
                  </w:pict>
                </mc:Fallback>
              </mc:AlternateContent>
            </w:r>
          </w:p>
          <w:p>
            <w:pPr>
              <w:snapToGrid w:val="0"/>
              <w:spacing w:line="360" w:lineRule="auto"/>
              <w:ind w:firstLine="315"/>
              <w:jc w:val="right"/>
              <w:rPr>
                <w:rFonts w:ascii="仿宋" w:hAnsi="仿宋" w:eastAsia="仿宋"/>
                <w:b/>
                <w:sz w:val="24"/>
                <w:szCs w:val="24"/>
              </w:rPr>
            </w:pPr>
            <w:r>
              <w:rPr>
                <w:rFonts w:hint="eastAsia" w:ascii="仿宋" w:hAnsi="仿宋" w:eastAsia="仿宋"/>
                <w:b/>
                <w:sz w:val="24"/>
                <w:szCs w:val="24"/>
              </w:rPr>
              <w:t>内容</w:t>
            </w:r>
          </w:p>
          <w:p>
            <w:pPr>
              <w:snapToGrid w:val="0"/>
              <w:spacing w:line="360" w:lineRule="auto"/>
              <w:jc w:val="left"/>
              <w:rPr>
                <w:rFonts w:ascii="仿宋" w:hAnsi="仿宋" w:eastAsia="仿宋"/>
                <w:b/>
                <w:sz w:val="24"/>
                <w:szCs w:val="24"/>
              </w:rPr>
            </w:pPr>
          </w:p>
          <w:p>
            <w:pPr>
              <w:snapToGrid w:val="0"/>
              <w:spacing w:line="360" w:lineRule="auto"/>
              <w:jc w:val="center"/>
              <w:rPr>
                <w:rFonts w:ascii="仿宋" w:hAnsi="仿宋" w:eastAsia="仿宋"/>
                <w:b/>
                <w:sz w:val="24"/>
                <w:szCs w:val="24"/>
              </w:rPr>
            </w:pPr>
            <w:r>
              <w:rPr>
                <w:rFonts w:hint="eastAsia" w:ascii="仿宋" w:hAnsi="仿宋" w:eastAsia="仿宋"/>
                <w:b/>
                <w:sz w:val="24"/>
                <w:szCs w:val="24"/>
              </w:rPr>
              <w:t xml:space="preserve">   分值</w:t>
            </w:r>
          </w:p>
          <w:p>
            <w:pPr>
              <w:spacing w:line="360" w:lineRule="auto"/>
              <w:jc w:val="left"/>
              <w:rPr>
                <w:rFonts w:ascii="仿宋" w:hAnsi="仿宋" w:eastAsia="仿宋"/>
                <w:b/>
                <w:sz w:val="24"/>
                <w:szCs w:val="24"/>
              </w:rPr>
            </w:pPr>
            <w:r>
              <w:rPr>
                <w:rFonts w:hint="eastAsia" w:ascii="仿宋" w:hAnsi="仿宋" w:eastAsia="仿宋"/>
                <w:b/>
                <w:sz w:val="24"/>
                <w:szCs w:val="24"/>
              </w:rPr>
              <w:t>级别</w:t>
            </w:r>
          </w:p>
        </w:tc>
        <w:tc>
          <w:tcPr>
            <w:tcW w:w="1248"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优秀党员、三好学生、优秀学生干部、优秀共青团员、优秀团干部</w:t>
            </w:r>
          </w:p>
        </w:tc>
        <w:tc>
          <w:tcPr>
            <w:tcW w:w="124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优秀志愿者、社会实践先进个人、团校优秀学员</w:t>
            </w:r>
          </w:p>
        </w:tc>
        <w:tc>
          <w:tcPr>
            <w:tcW w:w="169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szCs w:val="24"/>
              </w:rPr>
            </w:pPr>
            <w:r>
              <w:rPr>
                <w:rFonts w:hint="eastAsia" w:ascii="仿宋" w:hAnsi="仿宋" w:eastAsia="仿宋"/>
                <w:sz w:val="24"/>
                <w:szCs w:val="24"/>
              </w:rPr>
              <w:t>优秀党支部、先进班集体、优秀团支部、优秀社会实践团队、优秀宿舍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12"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国家级</w:t>
            </w:r>
          </w:p>
        </w:tc>
        <w:tc>
          <w:tcPr>
            <w:tcW w:w="124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4</w:t>
            </w:r>
          </w:p>
        </w:tc>
        <w:tc>
          <w:tcPr>
            <w:tcW w:w="1247"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3</w:t>
            </w:r>
          </w:p>
        </w:tc>
        <w:tc>
          <w:tcPr>
            <w:tcW w:w="169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12"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省市级</w:t>
            </w:r>
          </w:p>
        </w:tc>
        <w:tc>
          <w:tcPr>
            <w:tcW w:w="124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3</w:t>
            </w:r>
          </w:p>
        </w:tc>
        <w:tc>
          <w:tcPr>
            <w:tcW w:w="1247"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2</w:t>
            </w:r>
          </w:p>
        </w:tc>
        <w:tc>
          <w:tcPr>
            <w:tcW w:w="169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12"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区</w:t>
            </w:r>
            <w:r>
              <w:rPr>
                <w:rFonts w:ascii="仿宋" w:hAnsi="仿宋" w:eastAsia="仿宋"/>
                <w:sz w:val="24"/>
                <w:szCs w:val="24"/>
              </w:rPr>
              <w:t>县级</w:t>
            </w:r>
          </w:p>
        </w:tc>
        <w:tc>
          <w:tcPr>
            <w:tcW w:w="124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2.5</w:t>
            </w:r>
          </w:p>
        </w:tc>
        <w:tc>
          <w:tcPr>
            <w:tcW w:w="1247"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1.5</w:t>
            </w:r>
          </w:p>
        </w:tc>
        <w:tc>
          <w:tcPr>
            <w:tcW w:w="169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 w:hRule="atLeast"/>
          <w:jc w:val="center"/>
        </w:trPr>
        <w:tc>
          <w:tcPr>
            <w:tcW w:w="812"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校</w:t>
            </w:r>
            <w:r>
              <w:rPr>
                <w:rFonts w:ascii="仿宋" w:hAnsi="仿宋" w:eastAsia="仿宋"/>
                <w:sz w:val="24"/>
                <w:szCs w:val="24"/>
              </w:rPr>
              <w:t xml:space="preserve">  </w:t>
            </w:r>
            <w:r>
              <w:rPr>
                <w:rFonts w:hint="eastAsia" w:ascii="仿宋" w:hAnsi="仿宋" w:eastAsia="仿宋"/>
                <w:sz w:val="24"/>
                <w:szCs w:val="24"/>
              </w:rPr>
              <w:t>级</w:t>
            </w:r>
          </w:p>
        </w:tc>
        <w:tc>
          <w:tcPr>
            <w:tcW w:w="124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2</w:t>
            </w:r>
          </w:p>
        </w:tc>
        <w:tc>
          <w:tcPr>
            <w:tcW w:w="1247"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1</w:t>
            </w:r>
          </w:p>
        </w:tc>
        <w:tc>
          <w:tcPr>
            <w:tcW w:w="169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812"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hint="eastAsia" w:ascii="仿宋" w:hAnsi="仿宋" w:eastAsia="仿宋"/>
                <w:sz w:val="24"/>
                <w:szCs w:val="24"/>
              </w:rPr>
              <w:t>院系</w:t>
            </w:r>
            <w:r>
              <w:rPr>
                <w:rFonts w:ascii="仿宋" w:hAnsi="仿宋" w:eastAsia="仿宋"/>
                <w:sz w:val="24"/>
                <w:szCs w:val="24"/>
              </w:rPr>
              <w:t>级</w:t>
            </w:r>
          </w:p>
        </w:tc>
        <w:tc>
          <w:tcPr>
            <w:tcW w:w="1248"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1</w:t>
            </w:r>
          </w:p>
        </w:tc>
        <w:tc>
          <w:tcPr>
            <w:tcW w:w="1247"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0.5</w:t>
            </w:r>
          </w:p>
        </w:tc>
        <w:tc>
          <w:tcPr>
            <w:tcW w:w="1693" w:type="pct"/>
            <w:tcBorders>
              <w:top w:val="single" w:color="auto" w:sz="4" w:space="0"/>
              <w:left w:val="single" w:color="auto" w:sz="4" w:space="0"/>
              <w:bottom w:val="single" w:color="auto" w:sz="4" w:space="0"/>
              <w:right w:val="single" w:color="auto" w:sz="4" w:space="0"/>
            </w:tcBorders>
          </w:tcPr>
          <w:p>
            <w:pPr>
              <w:spacing w:line="360" w:lineRule="auto"/>
              <w:jc w:val="center"/>
              <w:rPr>
                <w:rFonts w:ascii="仿宋" w:hAnsi="仿宋" w:eastAsia="仿宋"/>
                <w:sz w:val="24"/>
                <w:szCs w:val="24"/>
              </w:rPr>
            </w:pPr>
            <w:r>
              <w:rPr>
                <w:rFonts w:ascii="仿宋" w:hAnsi="仿宋" w:eastAsia="仿宋"/>
                <w:sz w:val="24"/>
                <w:szCs w:val="24"/>
              </w:rPr>
              <w:t>0.4</w:t>
            </w:r>
          </w:p>
        </w:tc>
      </w:tr>
    </w:tbl>
    <w:p>
      <w:pPr>
        <w:pStyle w:val="14"/>
        <w:spacing w:line="360" w:lineRule="auto"/>
        <w:ind w:left="780" w:firstLine="0" w:firstLineChars="0"/>
        <w:rPr>
          <w:rFonts w:ascii="仿宋" w:hAnsi="仿宋" w:eastAsia="仿宋"/>
          <w:sz w:val="24"/>
          <w:szCs w:val="24"/>
        </w:rPr>
      </w:pPr>
    </w:p>
    <w:p>
      <w:pPr>
        <w:pStyle w:val="14"/>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社会工作加分</w:t>
      </w:r>
    </w:p>
    <w:p>
      <w:pPr>
        <w:spacing w:line="360" w:lineRule="auto"/>
        <w:ind w:firstLine="480" w:firstLineChars="200"/>
        <w:rPr>
          <w:rFonts w:ascii="仿宋" w:hAnsi="仿宋" w:eastAsia="仿宋"/>
          <w:sz w:val="24"/>
          <w:szCs w:val="24"/>
        </w:rPr>
      </w:pPr>
      <w:r>
        <w:rPr>
          <w:rFonts w:ascii="仿宋" w:hAnsi="仿宋" w:eastAsia="仿宋"/>
          <w:sz w:val="24"/>
          <w:szCs w:val="24"/>
        </w:rPr>
        <w:t>在</w:t>
      </w:r>
      <w:r>
        <w:rPr>
          <w:rFonts w:hint="eastAsia" w:ascii="仿宋" w:hAnsi="仿宋" w:eastAsia="仿宋"/>
          <w:sz w:val="24"/>
          <w:szCs w:val="24"/>
        </w:rPr>
        <w:t>上一</w:t>
      </w:r>
      <w:r>
        <w:rPr>
          <w:rFonts w:ascii="仿宋" w:hAnsi="仿宋" w:eastAsia="仿宋"/>
          <w:sz w:val="24"/>
          <w:szCs w:val="24"/>
        </w:rPr>
        <w:t>学年度担任</w:t>
      </w:r>
      <w:r>
        <w:rPr>
          <w:rFonts w:hint="eastAsia" w:ascii="仿宋" w:hAnsi="仿宋" w:eastAsia="仿宋"/>
          <w:sz w:val="24"/>
          <w:szCs w:val="24"/>
        </w:rPr>
        <w:t>研究生会干部、</w:t>
      </w:r>
      <w:r>
        <w:rPr>
          <w:rFonts w:ascii="仿宋" w:hAnsi="仿宋" w:eastAsia="仿宋"/>
          <w:sz w:val="24"/>
          <w:szCs w:val="24"/>
        </w:rPr>
        <w:t>党（团）支书、班长、其他</w:t>
      </w:r>
      <w:r>
        <w:rPr>
          <w:rFonts w:hint="eastAsia" w:ascii="仿宋" w:hAnsi="仿宋" w:eastAsia="仿宋"/>
          <w:sz w:val="24"/>
          <w:szCs w:val="24"/>
        </w:rPr>
        <w:t>学生</w:t>
      </w:r>
      <w:r>
        <w:rPr>
          <w:rFonts w:ascii="仿宋" w:hAnsi="仿宋" w:eastAsia="仿宋"/>
          <w:sz w:val="24"/>
          <w:szCs w:val="24"/>
        </w:rPr>
        <w:t>干部职务及参加学校、</w:t>
      </w:r>
      <w:r>
        <w:rPr>
          <w:rFonts w:hint="eastAsia" w:ascii="仿宋" w:hAnsi="仿宋" w:eastAsia="仿宋"/>
          <w:sz w:val="24"/>
          <w:szCs w:val="24"/>
        </w:rPr>
        <w:t>研究院（学部、学院</w:t>
      </w:r>
      <w:r>
        <w:rPr>
          <w:rFonts w:ascii="仿宋" w:hAnsi="仿宋" w:eastAsia="仿宋"/>
          <w:sz w:val="24"/>
          <w:szCs w:val="24"/>
        </w:rPr>
        <w:t>）指派的社会工作</w:t>
      </w:r>
      <w:r>
        <w:rPr>
          <w:rFonts w:hint="eastAsia" w:ascii="仿宋" w:hAnsi="仿宋" w:eastAsia="仿宋"/>
          <w:sz w:val="24"/>
          <w:szCs w:val="24"/>
        </w:rPr>
        <w:t>，视其表现每项工作给予0-2分的评分，具体加分细则如下：</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8"/>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9" w:type="pct"/>
          </w:tcPr>
          <w:p>
            <w:pPr>
              <w:spacing w:line="360" w:lineRule="auto"/>
              <w:jc w:val="center"/>
              <w:rPr>
                <w:rFonts w:ascii="仿宋" w:hAnsi="仿宋" w:eastAsia="仿宋"/>
                <w:sz w:val="24"/>
                <w:szCs w:val="24"/>
              </w:rPr>
            </w:pPr>
            <w:r>
              <w:rPr>
                <w:rFonts w:hint="eastAsia" w:ascii="仿宋" w:hAnsi="仿宋" w:eastAsia="仿宋"/>
                <w:sz w:val="24"/>
                <w:szCs w:val="24"/>
              </w:rPr>
              <w:t>职务</w:t>
            </w:r>
          </w:p>
        </w:tc>
        <w:tc>
          <w:tcPr>
            <w:tcW w:w="1111" w:type="pct"/>
          </w:tcPr>
          <w:p>
            <w:pPr>
              <w:spacing w:line="360" w:lineRule="auto"/>
              <w:jc w:val="center"/>
              <w:rPr>
                <w:rFonts w:ascii="仿宋" w:hAnsi="仿宋" w:eastAsia="仿宋"/>
                <w:sz w:val="24"/>
                <w:szCs w:val="24"/>
              </w:rPr>
            </w:pPr>
            <w:r>
              <w:rPr>
                <w:rFonts w:hint="eastAsia" w:ascii="仿宋" w:hAnsi="仿宋" w:eastAsia="仿宋"/>
                <w:sz w:val="24"/>
                <w:szCs w:val="24"/>
              </w:rPr>
              <w:t>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9" w:type="pct"/>
          </w:tcPr>
          <w:p>
            <w:pPr>
              <w:spacing w:line="360" w:lineRule="auto"/>
              <w:jc w:val="center"/>
              <w:rPr>
                <w:rFonts w:ascii="仿宋" w:hAnsi="仿宋" w:eastAsia="仿宋"/>
                <w:sz w:val="24"/>
                <w:szCs w:val="24"/>
              </w:rPr>
            </w:pPr>
            <w:r>
              <w:rPr>
                <w:rFonts w:hint="eastAsia" w:ascii="仿宋" w:hAnsi="仿宋" w:eastAsia="仿宋"/>
                <w:sz w:val="24"/>
                <w:szCs w:val="24"/>
              </w:rPr>
              <w:t>校研会主席团成员、校团委学生副书记</w:t>
            </w:r>
          </w:p>
        </w:tc>
        <w:tc>
          <w:tcPr>
            <w:tcW w:w="1111" w:type="pct"/>
          </w:tcPr>
          <w:p>
            <w:pPr>
              <w:spacing w:line="360" w:lineRule="auto"/>
              <w:jc w:val="center"/>
              <w:rPr>
                <w:rFonts w:ascii="仿宋" w:hAnsi="仿宋" w:eastAsia="仿宋"/>
                <w:sz w:val="24"/>
                <w:szCs w:val="24"/>
              </w:rPr>
            </w:pPr>
            <w:r>
              <w:rPr>
                <w:rFonts w:hint="eastAsia" w:ascii="仿宋" w:hAnsi="仿宋" w:eastAsia="仿宋"/>
                <w:sz w:val="24"/>
                <w:szCs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9" w:type="pct"/>
          </w:tcPr>
          <w:p>
            <w:pPr>
              <w:spacing w:line="360" w:lineRule="auto"/>
              <w:jc w:val="center"/>
              <w:rPr>
                <w:rFonts w:ascii="仿宋" w:hAnsi="仿宋" w:eastAsia="仿宋"/>
                <w:sz w:val="24"/>
                <w:szCs w:val="24"/>
              </w:rPr>
            </w:pPr>
            <w:r>
              <w:rPr>
                <w:rFonts w:hint="eastAsia" w:ascii="仿宋" w:hAnsi="仿宋" w:eastAsia="仿宋"/>
                <w:sz w:val="24"/>
                <w:szCs w:val="24"/>
              </w:rPr>
              <w:t>研究院研会主席（或总负责人）、分团委副书记、校研会部长</w:t>
            </w:r>
          </w:p>
        </w:tc>
        <w:tc>
          <w:tcPr>
            <w:tcW w:w="1111" w:type="pct"/>
          </w:tcPr>
          <w:p>
            <w:pPr>
              <w:spacing w:line="360" w:lineRule="auto"/>
              <w:jc w:val="center"/>
              <w:rPr>
                <w:rFonts w:ascii="仿宋" w:hAnsi="仿宋" w:eastAsia="仿宋"/>
                <w:sz w:val="24"/>
                <w:szCs w:val="24"/>
              </w:rPr>
            </w:pPr>
            <w:r>
              <w:rPr>
                <w:rFonts w:hint="eastAsia" w:ascii="仿宋" w:hAnsi="仿宋" w:eastAsia="仿宋"/>
                <w:sz w:val="24"/>
                <w:szCs w:val="24"/>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9" w:type="pct"/>
          </w:tcPr>
          <w:p>
            <w:pPr>
              <w:spacing w:line="360" w:lineRule="auto"/>
              <w:jc w:val="center"/>
              <w:rPr>
                <w:rFonts w:ascii="仿宋" w:hAnsi="仿宋" w:eastAsia="仿宋"/>
                <w:sz w:val="24"/>
                <w:szCs w:val="24"/>
              </w:rPr>
            </w:pPr>
            <w:r>
              <w:rPr>
                <w:rFonts w:hint="eastAsia" w:ascii="仿宋" w:hAnsi="仿宋" w:eastAsia="仿宋"/>
                <w:sz w:val="24"/>
                <w:szCs w:val="24"/>
              </w:rPr>
              <w:t>学生党支部书记、委员，研究院研会部长、各班班长</w:t>
            </w:r>
          </w:p>
        </w:tc>
        <w:tc>
          <w:tcPr>
            <w:tcW w:w="1111" w:type="pct"/>
          </w:tcPr>
          <w:p>
            <w:pPr>
              <w:spacing w:line="360" w:lineRule="auto"/>
              <w:jc w:val="center"/>
              <w:rPr>
                <w:rFonts w:ascii="仿宋" w:hAnsi="仿宋" w:eastAsia="仿宋"/>
                <w:sz w:val="24"/>
                <w:szCs w:val="24"/>
              </w:rPr>
            </w:pPr>
            <w:r>
              <w:rPr>
                <w:rFonts w:hint="eastAsia" w:ascii="仿宋" w:hAnsi="仿宋" w:eastAsia="仿宋"/>
                <w:sz w:val="24"/>
                <w:szCs w:val="24"/>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889" w:type="pct"/>
          </w:tcPr>
          <w:p>
            <w:pPr>
              <w:spacing w:line="360" w:lineRule="auto"/>
              <w:jc w:val="center"/>
              <w:rPr>
                <w:rFonts w:ascii="仿宋" w:hAnsi="仿宋" w:eastAsia="仿宋"/>
                <w:sz w:val="24"/>
                <w:szCs w:val="24"/>
              </w:rPr>
            </w:pPr>
            <w:r>
              <w:rPr>
                <w:rFonts w:hint="eastAsia" w:ascii="仿宋" w:hAnsi="仿宋" w:eastAsia="仿宋"/>
                <w:sz w:val="24"/>
                <w:szCs w:val="24"/>
              </w:rPr>
              <w:t>校、研究院研会干事、各班班委</w:t>
            </w:r>
          </w:p>
        </w:tc>
        <w:tc>
          <w:tcPr>
            <w:tcW w:w="1111" w:type="pct"/>
          </w:tcPr>
          <w:p>
            <w:pPr>
              <w:spacing w:line="360" w:lineRule="auto"/>
              <w:jc w:val="center"/>
              <w:rPr>
                <w:rFonts w:ascii="仿宋" w:hAnsi="仿宋" w:eastAsia="仿宋"/>
                <w:sz w:val="24"/>
                <w:szCs w:val="24"/>
              </w:rPr>
            </w:pPr>
            <w:r>
              <w:rPr>
                <w:rFonts w:hint="eastAsia" w:ascii="仿宋" w:hAnsi="仿宋" w:eastAsia="仿宋"/>
                <w:sz w:val="24"/>
                <w:szCs w:val="24"/>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5000" w:type="pct"/>
            <w:gridSpan w:val="2"/>
          </w:tcPr>
          <w:p>
            <w:pPr>
              <w:spacing w:line="360" w:lineRule="auto"/>
              <w:rPr>
                <w:rFonts w:ascii="仿宋" w:hAnsi="仿宋" w:eastAsia="仿宋"/>
                <w:sz w:val="24"/>
                <w:szCs w:val="24"/>
              </w:rPr>
            </w:pPr>
            <w:r>
              <w:rPr>
                <w:rFonts w:hint="eastAsia" w:ascii="仿宋" w:hAnsi="仿宋" w:eastAsia="仿宋"/>
                <w:sz w:val="24"/>
                <w:szCs w:val="24"/>
              </w:rPr>
              <w:t>注：身兼多职的以最高职务计分</w:t>
            </w:r>
          </w:p>
        </w:tc>
      </w:tr>
    </w:tbl>
    <w:p>
      <w:pPr>
        <w:spacing w:line="360" w:lineRule="auto"/>
        <w:ind w:left="420"/>
        <w:rPr>
          <w:rFonts w:ascii="仿宋" w:hAnsi="仿宋" w:eastAsia="仿宋"/>
          <w:sz w:val="24"/>
          <w:szCs w:val="24"/>
        </w:rPr>
      </w:pPr>
    </w:p>
    <w:p>
      <w:pPr>
        <w:pStyle w:val="14"/>
        <w:numPr>
          <w:ilvl w:val="0"/>
          <w:numId w:val="3"/>
        </w:numPr>
        <w:spacing w:line="360" w:lineRule="auto"/>
        <w:ind w:firstLineChars="0"/>
        <w:rPr>
          <w:rFonts w:ascii="仿宋" w:hAnsi="仿宋" w:eastAsia="仿宋"/>
          <w:sz w:val="24"/>
          <w:szCs w:val="24"/>
        </w:rPr>
      </w:pPr>
      <w:r>
        <w:rPr>
          <w:rFonts w:hint="eastAsia" w:ascii="仿宋" w:hAnsi="仿宋" w:eastAsia="仿宋"/>
          <w:sz w:val="24"/>
          <w:szCs w:val="24"/>
        </w:rPr>
        <w:t>志愿服务、社会实践</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社会实践、志愿服务项目需经校团委认定，未经认定者不予加分。参加暑期社会实践团队及志愿服务的同学，按照其活动时长予以加分，最高上限为2分，计算公式为：实践活动加分= 活动总小时数 × 0.01分。</w:t>
      </w:r>
    </w:p>
    <w:p>
      <w:pPr>
        <w:spacing w:line="360" w:lineRule="auto"/>
        <w:ind w:firstLine="480" w:firstLineChars="200"/>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6、其他</w:t>
      </w:r>
    </w:p>
    <w:p>
      <w:pPr>
        <w:spacing w:line="360" w:lineRule="auto"/>
        <w:ind w:firstLine="480" w:firstLineChars="200"/>
        <w:rPr>
          <w:rFonts w:ascii="仿宋" w:hAnsi="仿宋" w:eastAsia="仿宋"/>
          <w:sz w:val="24"/>
          <w:szCs w:val="24"/>
        </w:rPr>
      </w:pPr>
      <w:r>
        <w:rPr>
          <w:rFonts w:hint="eastAsia" w:ascii="仿宋" w:hAnsi="仿宋" w:eastAsia="仿宋"/>
          <w:sz w:val="24"/>
          <w:szCs w:val="24"/>
        </w:rPr>
        <w:t>①参加无偿献血者凭当年献血证加0.2分。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②凡是集体项目获奖团体的负责人按该分值予以加分，成员按该分值1/2加分。</w:t>
      </w:r>
    </w:p>
    <w:p>
      <w:pPr>
        <w:spacing w:line="360" w:lineRule="auto"/>
        <w:ind w:firstLine="480" w:firstLineChars="200"/>
        <w:rPr>
          <w:rFonts w:ascii="仿宋" w:hAnsi="仿宋" w:eastAsia="仿宋"/>
          <w:sz w:val="24"/>
          <w:szCs w:val="24"/>
        </w:rPr>
      </w:pPr>
      <w:r>
        <w:rPr>
          <w:rFonts w:hint="eastAsia" w:ascii="仿宋" w:hAnsi="仿宋" w:eastAsia="仿宋"/>
          <w:sz w:val="24"/>
          <w:szCs w:val="24"/>
        </w:rPr>
        <w:t>③所有加分项目的时间认定，以表彰或正式证书、奖状标注的时间或论文作品发表时间为准。</w:t>
      </w:r>
    </w:p>
    <w:p>
      <w:pPr>
        <w:spacing w:line="360" w:lineRule="auto"/>
        <w:ind w:firstLine="480" w:firstLineChars="200"/>
        <w:rPr>
          <w:rFonts w:ascii="仿宋" w:hAnsi="仿宋" w:eastAsia="仿宋"/>
          <w:sz w:val="24"/>
          <w:szCs w:val="24"/>
        </w:rPr>
      </w:pPr>
    </w:p>
    <w:p>
      <w:pPr>
        <w:spacing w:line="360" w:lineRule="auto"/>
        <w:rPr>
          <w:rFonts w:ascii="仿宋" w:hAnsi="仿宋" w:eastAsia="仿宋"/>
          <w:sz w:val="24"/>
          <w:szCs w:val="24"/>
        </w:rPr>
      </w:pPr>
      <w:r>
        <w:rPr>
          <w:rFonts w:hint="eastAsia" w:ascii="仿宋" w:hAnsi="仿宋" w:eastAsia="仿宋"/>
          <w:sz w:val="24"/>
          <w:szCs w:val="24"/>
        </w:rPr>
        <w:t xml:space="preserve">    （二）文艺</w:t>
      </w:r>
      <w:r>
        <w:rPr>
          <w:rFonts w:ascii="仿宋" w:hAnsi="仿宋" w:eastAsia="仿宋"/>
          <w:sz w:val="24"/>
          <w:szCs w:val="24"/>
        </w:rPr>
        <w:t>与文学</w:t>
      </w:r>
      <w:r>
        <w:rPr>
          <w:rFonts w:hint="eastAsia" w:ascii="仿宋" w:hAnsi="仿宋" w:eastAsia="仿宋"/>
          <w:sz w:val="24"/>
          <w:szCs w:val="24"/>
        </w:rPr>
        <w:t>创作</w:t>
      </w:r>
      <w:r>
        <w:rPr>
          <w:rFonts w:ascii="仿宋" w:hAnsi="仿宋" w:eastAsia="仿宋"/>
          <w:sz w:val="24"/>
          <w:szCs w:val="24"/>
        </w:rPr>
        <w:t>附加分</w:t>
      </w:r>
    </w:p>
    <w:p>
      <w:pPr>
        <w:spacing w:line="360" w:lineRule="auto"/>
        <w:rPr>
          <w:rFonts w:ascii="仿宋" w:hAnsi="仿宋" w:eastAsia="仿宋"/>
          <w:sz w:val="24"/>
          <w:szCs w:val="24"/>
        </w:rPr>
      </w:pPr>
      <w:r>
        <w:rPr>
          <w:rFonts w:ascii="仿宋" w:hAnsi="仿宋" w:eastAsia="仿宋"/>
          <w:sz w:val="24"/>
          <w:szCs w:val="24"/>
        </w:rPr>
        <w:t xml:space="preserve">    </w:t>
      </w:r>
      <w:r>
        <w:rPr>
          <w:rFonts w:hint="eastAsia" w:ascii="仿宋" w:hAnsi="仿宋" w:eastAsia="仿宋"/>
          <w:sz w:val="24"/>
          <w:szCs w:val="24"/>
        </w:rPr>
        <w:t>正式</w:t>
      </w:r>
      <w:r>
        <w:rPr>
          <w:rFonts w:ascii="仿宋" w:hAnsi="仿宋" w:eastAsia="仿宋"/>
          <w:sz w:val="24"/>
          <w:szCs w:val="24"/>
        </w:rPr>
        <w:t>出版的小说</w:t>
      </w:r>
      <w:r>
        <w:rPr>
          <w:rFonts w:hint="eastAsia" w:ascii="仿宋" w:hAnsi="仿宋" w:eastAsia="仿宋"/>
          <w:sz w:val="24"/>
          <w:szCs w:val="24"/>
        </w:rPr>
        <w:t>、诗歌集</w:t>
      </w:r>
      <w:r>
        <w:rPr>
          <w:rFonts w:ascii="仿宋" w:hAnsi="仿宋" w:eastAsia="仿宋"/>
          <w:sz w:val="24"/>
          <w:szCs w:val="24"/>
        </w:rPr>
        <w:t>等</w:t>
      </w:r>
      <w:r>
        <w:rPr>
          <w:rFonts w:hint="eastAsia" w:ascii="仿宋" w:hAnsi="仿宋" w:eastAsia="仿宋"/>
          <w:sz w:val="24"/>
          <w:szCs w:val="24"/>
        </w:rPr>
        <w:t>文艺</w:t>
      </w:r>
      <w:r>
        <w:rPr>
          <w:rFonts w:ascii="仿宋" w:hAnsi="仿宋" w:eastAsia="仿宋"/>
          <w:sz w:val="24"/>
          <w:szCs w:val="24"/>
        </w:rPr>
        <w:t>与文学创作</w:t>
      </w:r>
      <w:r>
        <w:rPr>
          <w:rFonts w:hint="eastAsia" w:ascii="仿宋" w:hAnsi="仿宋" w:eastAsia="仿宋"/>
          <w:sz w:val="24"/>
          <w:szCs w:val="24"/>
        </w:rPr>
        <w:t>类</w:t>
      </w:r>
      <w:r>
        <w:rPr>
          <w:rFonts w:ascii="仿宋" w:hAnsi="仿宋" w:eastAsia="仿宋"/>
          <w:sz w:val="24"/>
          <w:szCs w:val="24"/>
        </w:rPr>
        <w:t>作品</w:t>
      </w:r>
      <w:r>
        <w:rPr>
          <w:rFonts w:hint="eastAsia" w:ascii="仿宋" w:hAnsi="仿宋" w:eastAsia="仿宋"/>
          <w:sz w:val="24"/>
          <w:szCs w:val="24"/>
        </w:rPr>
        <w:t>根据</w:t>
      </w:r>
      <w:r>
        <w:rPr>
          <w:rFonts w:ascii="仿宋" w:hAnsi="仿宋" w:eastAsia="仿宋"/>
          <w:sz w:val="24"/>
          <w:szCs w:val="24"/>
        </w:rPr>
        <w:t>出版社的级别，参照</w:t>
      </w:r>
      <w:r>
        <w:rPr>
          <w:rFonts w:hint="eastAsia" w:ascii="仿宋" w:hAnsi="仿宋" w:eastAsia="仿宋"/>
          <w:sz w:val="24"/>
          <w:szCs w:val="24"/>
        </w:rPr>
        <w:t>文体活动获奖</w:t>
      </w:r>
      <w:r>
        <w:rPr>
          <w:rFonts w:ascii="仿宋" w:hAnsi="仿宋" w:eastAsia="仿宋"/>
          <w:sz w:val="24"/>
          <w:szCs w:val="24"/>
        </w:rPr>
        <w:t>一等奖</w:t>
      </w:r>
      <w:r>
        <w:rPr>
          <w:rFonts w:hint="eastAsia" w:ascii="仿宋" w:hAnsi="仿宋" w:eastAsia="仿宋"/>
          <w:sz w:val="24"/>
          <w:szCs w:val="24"/>
        </w:rPr>
        <w:t>计分。其他</w:t>
      </w:r>
      <w:r>
        <w:rPr>
          <w:rFonts w:ascii="仿宋" w:hAnsi="仿宋" w:eastAsia="仿宋"/>
          <w:sz w:val="24"/>
          <w:szCs w:val="24"/>
        </w:rPr>
        <w:t>发表于公开发行</w:t>
      </w:r>
      <w:r>
        <w:rPr>
          <w:rFonts w:hint="eastAsia" w:ascii="仿宋" w:hAnsi="仿宋" w:eastAsia="仿宋"/>
          <w:sz w:val="24"/>
          <w:szCs w:val="24"/>
        </w:rPr>
        <w:t>报刊</w:t>
      </w:r>
      <w:r>
        <w:rPr>
          <w:rFonts w:ascii="仿宋" w:hAnsi="仿宋" w:eastAsia="仿宋"/>
          <w:sz w:val="24"/>
          <w:szCs w:val="24"/>
        </w:rPr>
        <w:t>上的创作类作品，每篇计</w:t>
      </w:r>
      <w:r>
        <w:rPr>
          <w:rFonts w:hint="eastAsia" w:ascii="仿宋" w:hAnsi="仿宋" w:eastAsia="仿宋"/>
          <w:sz w:val="24"/>
          <w:szCs w:val="24"/>
        </w:rPr>
        <w:t>0.2分，</w:t>
      </w:r>
      <w:r>
        <w:rPr>
          <w:rFonts w:ascii="仿宋" w:hAnsi="仿宋" w:eastAsia="仿宋"/>
          <w:sz w:val="24"/>
          <w:szCs w:val="24"/>
        </w:rPr>
        <w:t>累计</w:t>
      </w:r>
      <w:r>
        <w:rPr>
          <w:rFonts w:hint="eastAsia" w:ascii="仿宋" w:hAnsi="仿宋" w:eastAsia="仿宋"/>
          <w:sz w:val="24"/>
          <w:szCs w:val="24"/>
        </w:rPr>
        <w:t>不得高于1.6分</w:t>
      </w:r>
      <w:r>
        <w:rPr>
          <w:rFonts w:ascii="仿宋" w:hAnsi="仿宋" w:eastAsia="仿宋"/>
          <w:sz w:val="24"/>
          <w:szCs w:val="24"/>
        </w:rPr>
        <w:t>。</w:t>
      </w:r>
    </w:p>
    <w:p>
      <w:pPr>
        <w:spacing w:line="360" w:lineRule="auto"/>
        <w:rPr>
          <w:rFonts w:ascii="仿宋" w:hAnsi="仿宋" w:eastAsia="仿宋"/>
          <w:sz w:val="24"/>
          <w:szCs w:val="24"/>
        </w:rPr>
      </w:pPr>
    </w:p>
    <w:p>
      <w:pPr>
        <w:spacing w:line="360" w:lineRule="auto"/>
        <w:ind w:firstLine="480" w:firstLineChars="200"/>
        <w:rPr>
          <w:rFonts w:ascii="仿宋" w:hAnsi="仿宋" w:eastAsia="仿宋"/>
          <w:sz w:val="24"/>
          <w:szCs w:val="24"/>
        </w:rPr>
      </w:pPr>
      <w:r>
        <w:rPr>
          <w:rFonts w:hint="eastAsia" w:ascii="仿宋" w:hAnsi="仿宋" w:eastAsia="仿宋"/>
          <w:sz w:val="24"/>
          <w:szCs w:val="24"/>
        </w:rPr>
        <w:t>第七条 学术测评方法</w:t>
      </w:r>
    </w:p>
    <w:p>
      <w:pPr>
        <w:autoSpaceDE w:val="0"/>
        <w:autoSpaceDN w:val="0"/>
        <w:adjustRightInd w:val="0"/>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（一）学术测评满分为80分，取学生成绩</w:t>
      </w:r>
      <w:r>
        <w:rPr>
          <w:rFonts w:ascii="仿宋" w:hAnsi="仿宋" w:eastAsia="仿宋" w:cs="宋体"/>
          <w:kern w:val="0"/>
          <w:sz w:val="24"/>
          <w:szCs w:val="24"/>
        </w:rPr>
        <w:t>绩点</w:t>
      </w:r>
      <w:r>
        <w:rPr>
          <w:rFonts w:hint="eastAsia" w:ascii="仿宋" w:hAnsi="仿宋" w:eastAsia="仿宋" w:cs="宋体"/>
          <w:kern w:val="0"/>
          <w:sz w:val="24"/>
          <w:szCs w:val="24"/>
        </w:rPr>
        <w:t>之80%。计算公式如下：</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① 学术测评总分=成绩绩点×80%</w:t>
      </w:r>
      <w:r>
        <w:rPr>
          <w:rFonts w:hint="eastAsia" w:ascii="仿宋" w:hAnsi="仿宋" w:eastAsia="仿宋"/>
          <w:sz w:val="24"/>
          <w:szCs w:val="24"/>
        </w:rPr>
        <w:tab/>
      </w:r>
    </w:p>
    <w:p>
      <w:pPr>
        <w:spacing w:line="360" w:lineRule="auto"/>
        <w:ind w:firstLine="840" w:firstLineChars="350"/>
        <w:jc w:val="left"/>
        <w:rPr>
          <w:rFonts w:ascii="仿宋" w:hAnsi="仿宋" w:eastAsia="仿宋"/>
          <w:sz w:val="24"/>
          <w:szCs w:val="24"/>
        </w:rPr>
      </w:pPr>
      <w:r>
        <w:rPr>
          <w:rFonts w:hint="eastAsia" w:ascii="仿宋" w:hAnsi="仿宋" w:eastAsia="仿宋"/>
          <w:sz w:val="24"/>
          <w:szCs w:val="24"/>
        </w:rPr>
        <w:t>成绩绩点=（成绩×学分+成绩×学分+成绩×学分……）÷总学分</w:t>
      </w:r>
    </w:p>
    <w:p>
      <w:pPr>
        <w:spacing w:line="360" w:lineRule="auto"/>
        <w:jc w:val="left"/>
        <w:rPr>
          <w:rFonts w:ascii="仿宋" w:hAnsi="仿宋" w:eastAsia="仿宋"/>
          <w:sz w:val="24"/>
          <w:szCs w:val="24"/>
        </w:rPr>
      </w:pPr>
      <w:r>
        <w:rPr>
          <w:rFonts w:hint="eastAsia" w:ascii="仿宋" w:hAnsi="仿宋" w:eastAsia="仿宋"/>
          <w:sz w:val="24"/>
          <w:szCs w:val="24"/>
        </w:rPr>
        <w:t xml:space="preserve">    ② 计入的成绩</w:t>
      </w:r>
      <w:r>
        <w:rPr>
          <w:rFonts w:hint="eastAsia" w:ascii="仿宋" w:hAnsi="仿宋" w:eastAsia="仿宋" w:cs="宋体"/>
          <w:kern w:val="0"/>
          <w:sz w:val="24"/>
          <w:szCs w:val="24"/>
        </w:rPr>
        <w:t>包括专业必修课、专业选修课、公共必修课，</w:t>
      </w:r>
      <w:r>
        <w:rPr>
          <w:rFonts w:hint="eastAsia" w:ascii="仿宋" w:hAnsi="仿宋" w:eastAsia="仿宋"/>
          <w:sz w:val="24"/>
          <w:szCs w:val="24"/>
        </w:rPr>
        <w:t>不含导师指导课成绩、外语必修课</w:t>
      </w:r>
      <w:r>
        <w:rPr>
          <w:rStyle w:val="13"/>
          <w:rFonts w:ascii="仿宋" w:hAnsi="仿宋" w:eastAsia="仿宋"/>
          <w:sz w:val="24"/>
          <w:szCs w:val="24"/>
        </w:rPr>
        <w:footnoteReference w:id="2"/>
      </w:r>
      <w:r>
        <w:rPr>
          <w:rFonts w:hint="eastAsia" w:ascii="仿宋" w:hAnsi="仿宋" w:eastAsia="仿宋"/>
          <w:sz w:val="24"/>
          <w:szCs w:val="24"/>
        </w:rPr>
        <w:t>；</w:t>
      </w: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（二）学习</w:t>
      </w:r>
      <w:r>
        <w:rPr>
          <w:rFonts w:ascii="仿宋" w:hAnsi="仿宋" w:eastAsia="仿宋" w:cs="宋体"/>
          <w:kern w:val="0"/>
          <w:sz w:val="24"/>
          <w:szCs w:val="24"/>
        </w:rPr>
        <w:t>成绩中有不及格者（</w:t>
      </w:r>
      <w:r>
        <w:rPr>
          <w:rFonts w:hint="eastAsia" w:ascii="仿宋" w:hAnsi="仿宋" w:eastAsia="仿宋" w:cs="宋体"/>
          <w:kern w:val="0"/>
          <w:sz w:val="24"/>
          <w:szCs w:val="24"/>
        </w:rPr>
        <w:t>低于70分</w:t>
      </w:r>
      <w:r>
        <w:rPr>
          <w:rFonts w:ascii="仿宋" w:hAnsi="仿宋" w:eastAsia="仿宋" w:cs="宋体"/>
          <w:kern w:val="0"/>
          <w:sz w:val="24"/>
          <w:szCs w:val="24"/>
        </w:rPr>
        <w:t>）</w:t>
      </w:r>
      <w:r>
        <w:rPr>
          <w:rFonts w:hint="eastAsia" w:ascii="仿宋" w:hAnsi="仿宋" w:eastAsia="仿宋" w:cs="宋体"/>
          <w:kern w:val="0"/>
          <w:sz w:val="24"/>
          <w:szCs w:val="24"/>
        </w:rPr>
        <w:t>，评选</w:t>
      </w:r>
      <w:r>
        <w:rPr>
          <w:rFonts w:ascii="仿宋" w:hAnsi="仿宋" w:eastAsia="仿宋" w:cs="宋体"/>
          <w:kern w:val="0"/>
          <w:sz w:val="24"/>
          <w:szCs w:val="24"/>
        </w:rPr>
        <w:t>当年学业奖学金直接定</w:t>
      </w:r>
      <w:r>
        <w:rPr>
          <w:rFonts w:hint="eastAsia" w:ascii="仿宋" w:hAnsi="仿宋" w:eastAsia="仿宋" w:cs="宋体"/>
          <w:kern w:val="0"/>
          <w:sz w:val="24"/>
          <w:szCs w:val="24"/>
        </w:rPr>
        <w:t>为最低等级。</w:t>
      </w: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（三）评选</w:t>
      </w:r>
      <w:r>
        <w:rPr>
          <w:rFonts w:ascii="仿宋" w:hAnsi="仿宋" w:eastAsia="仿宋" w:cs="宋体"/>
          <w:kern w:val="0"/>
          <w:sz w:val="24"/>
          <w:szCs w:val="24"/>
        </w:rPr>
        <w:t>期限内，未选课者（</w:t>
      </w:r>
      <w:r>
        <w:rPr>
          <w:rFonts w:hint="eastAsia" w:ascii="仿宋" w:hAnsi="仿宋" w:eastAsia="仿宋" w:cs="宋体"/>
          <w:kern w:val="0"/>
          <w:sz w:val="24"/>
          <w:szCs w:val="24"/>
        </w:rPr>
        <w:t>没有</w:t>
      </w:r>
      <w:r>
        <w:rPr>
          <w:rFonts w:ascii="仿宋" w:hAnsi="仿宋" w:eastAsia="仿宋" w:cs="宋体"/>
          <w:kern w:val="0"/>
          <w:sz w:val="24"/>
          <w:szCs w:val="24"/>
        </w:rPr>
        <w:t>任何成绩记录的）</w:t>
      </w:r>
      <w:r>
        <w:rPr>
          <w:rFonts w:hint="eastAsia" w:ascii="仿宋" w:hAnsi="仿宋" w:eastAsia="仿宋" w:cs="宋体"/>
          <w:kern w:val="0"/>
          <w:sz w:val="24"/>
          <w:szCs w:val="24"/>
        </w:rPr>
        <w:t>，评选当年</w:t>
      </w:r>
      <w:r>
        <w:rPr>
          <w:rFonts w:ascii="仿宋" w:hAnsi="仿宋" w:eastAsia="仿宋" w:cs="宋体"/>
          <w:kern w:val="0"/>
          <w:sz w:val="24"/>
          <w:szCs w:val="24"/>
        </w:rPr>
        <w:t>学业奖学金直接定为最低</w:t>
      </w:r>
      <w:r>
        <w:rPr>
          <w:rFonts w:hint="eastAsia" w:ascii="仿宋" w:hAnsi="仿宋" w:eastAsia="仿宋" w:cs="宋体"/>
          <w:kern w:val="0"/>
          <w:sz w:val="24"/>
          <w:szCs w:val="24"/>
        </w:rPr>
        <w:t>等级</w:t>
      </w:r>
      <w:r>
        <w:rPr>
          <w:rFonts w:ascii="仿宋" w:hAnsi="仿宋" w:eastAsia="仿宋" w:cs="宋体"/>
          <w:kern w:val="0"/>
          <w:sz w:val="24"/>
          <w:szCs w:val="24"/>
        </w:rPr>
        <w:t>。</w:t>
      </w:r>
    </w:p>
    <w:p>
      <w:pPr>
        <w:widowControl/>
        <w:spacing w:line="360" w:lineRule="auto"/>
        <w:rPr>
          <w:rFonts w:ascii="仿宋" w:hAnsi="仿宋" w:eastAsia="仿宋" w:cs="宋体"/>
          <w:kern w:val="0"/>
          <w:sz w:val="24"/>
          <w:szCs w:val="24"/>
        </w:rPr>
      </w:pP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cs="宋体"/>
          <w:kern w:val="0"/>
          <w:sz w:val="24"/>
          <w:szCs w:val="24"/>
        </w:rPr>
        <w:t>第八条 科研附加分</w:t>
      </w:r>
      <w:r>
        <w:rPr>
          <w:rFonts w:hint="eastAsia" w:ascii="仿宋" w:hAnsi="仿宋" w:eastAsia="仿宋"/>
          <w:sz w:val="24"/>
          <w:szCs w:val="24"/>
        </w:rPr>
        <w:t>计算细则</w:t>
      </w:r>
    </w:p>
    <w:p>
      <w:pPr>
        <w:widowControl/>
        <w:spacing w:line="360" w:lineRule="auto"/>
        <w:ind w:firstLine="480" w:firstLineChars="200"/>
        <w:rPr>
          <w:rFonts w:ascii="仿宋" w:hAnsi="仿宋" w:eastAsia="仿宋" w:cs="宋体"/>
          <w:kern w:val="0"/>
          <w:sz w:val="24"/>
          <w:szCs w:val="24"/>
        </w:rPr>
      </w:pPr>
      <w:r>
        <w:rPr>
          <w:rFonts w:hint="eastAsia" w:ascii="仿宋" w:hAnsi="仿宋" w:eastAsia="仿宋"/>
          <w:sz w:val="24"/>
          <w:szCs w:val="24"/>
        </w:rPr>
        <w:t>（一）学术论文的计分</w:t>
      </w:r>
    </w:p>
    <w:p>
      <w:pPr>
        <w:spacing w:line="360" w:lineRule="auto"/>
        <w:jc w:val="left"/>
        <w:rPr>
          <w:rFonts w:ascii="仿宋" w:hAnsi="仿宋" w:eastAsia="仿宋"/>
          <w:sz w:val="24"/>
          <w:szCs w:val="24"/>
        </w:rPr>
      </w:pPr>
      <w:r>
        <w:rPr>
          <w:rFonts w:hint="eastAsia" w:ascii="仿宋" w:hAnsi="仿宋" w:eastAsia="仿宋"/>
          <w:sz w:val="24"/>
          <w:szCs w:val="24"/>
        </w:rPr>
        <w:t xml:space="preserve">     计入科研分的学术论文是指具有一定学术价值，已在公开学术出版物或内部学术刊物上发表的字数在3000字以上的论文。</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1、刊物类别</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本文件刊物类别以《北京语言大学学术刊物分类表》（2017年版）</w:t>
      </w:r>
      <w:r>
        <w:rPr>
          <w:rStyle w:val="13"/>
          <w:rFonts w:ascii="仿宋" w:hAnsi="仿宋" w:eastAsia="仿宋"/>
          <w:sz w:val="24"/>
          <w:szCs w:val="24"/>
        </w:rPr>
        <w:footnoteReference w:id="3"/>
      </w:r>
      <w:r>
        <w:rPr>
          <w:rFonts w:hint="eastAsia" w:ascii="仿宋" w:hAnsi="仿宋" w:eastAsia="仿宋"/>
          <w:sz w:val="24"/>
          <w:szCs w:val="24"/>
        </w:rPr>
        <w:t>为基础。</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（1）A类刊物</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I级，包括</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1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①</w:t>
      </w:r>
      <w:r>
        <w:rPr>
          <w:rFonts w:ascii="仿宋" w:hAnsi="仿宋" w:eastAsia="仿宋"/>
          <w:sz w:val="24"/>
          <w:szCs w:val="24"/>
        </w:rPr>
        <w:fldChar w:fldCharType="end"/>
      </w:r>
      <w:r>
        <w:rPr>
          <w:rFonts w:hint="eastAsia" w:ascii="仿宋" w:hAnsi="仿宋" w:eastAsia="仿宋"/>
          <w:sz w:val="24"/>
          <w:szCs w:val="24"/>
        </w:rPr>
        <w:t>国内核心期刊2种（即《中国社会科学》、《中国科学））</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2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②</w:t>
      </w:r>
      <w:r>
        <w:rPr>
          <w:rFonts w:ascii="仿宋" w:hAnsi="仿宋" w:eastAsia="仿宋"/>
          <w:sz w:val="24"/>
          <w:szCs w:val="24"/>
        </w:rPr>
        <w:fldChar w:fldCharType="end"/>
      </w:r>
      <w:r>
        <w:rPr>
          <w:rFonts w:hint="eastAsia" w:ascii="仿宋" w:hAnsi="仿宋" w:eastAsia="仿宋"/>
          <w:sz w:val="24"/>
          <w:szCs w:val="24"/>
        </w:rPr>
        <w:t>被SSCI、SCI、A&amp;HCI等索引收录的期刊论文</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3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③</w:t>
      </w:r>
      <w:r>
        <w:rPr>
          <w:rFonts w:ascii="仿宋" w:hAnsi="仿宋" w:eastAsia="仿宋"/>
          <w:sz w:val="24"/>
          <w:szCs w:val="24"/>
        </w:rPr>
        <w:fldChar w:fldCharType="end"/>
      </w:r>
      <w:r>
        <w:rPr>
          <w:rFonts w:hint="eastAsia" w:ascii="仿宋" w:hAnsi="仿宋" w:eastAsia="仿宋"/>
          <w:sz w:val="24"/>
          <w:szCs w:val="24"/>
        </w:rPr>
        <w:t>被《新华文摘》转摘的论文</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II级，包括</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1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①</w:t>
      </w:r>
      <w:r>
        <w:rPr>
          <w:rFonts w:ascii="仿宋" w:hAnsi="仿宋" w:eastAsia="仿宋"/>
          <w:sz w:val="24"/>
          <w:szCs w:val="24"/>
        </w:rPr>
        <w:fldChar w:fldCharType="end"/>
      </w:r>
      <w:r>
        <w:rPr>
          <w:rFonts w:hint="eastAsia" w:ascii="仿宋" w:hAnsi="仿宋" w:eastAsia="仿宋"/>
          <w:sz w:val="24"/>
          <w:szCs w:val="24"/>
        </w:rPr>
        <w:t>国内核心期刊25种（详见《北京语言大学学术刊物分类表》（2017年版）相应说明）</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r>
        <w:rPr>
          <w:rFonts w:hint="eastAsia" w:ascii="仿宋" w:hAnsi="仿宋" w:eastAsia="仿宋"/>
          <w:sz w:val="24"/>
          <w:szCs w:val="24"/>
        </w:rPr>
        <w:tab/>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2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②</w:t>
      </w:r>
      <w:r>
        <w:rPr>
          <w:rFonts w:ascii="仿宋" w:hAnsi="仿宋" w:eastAsia="仿宋"/>
          <w:sz w:val="24"/>
          <w:szCs w:val="24"/>
        </w:rPr>
        <w:fldChar w:fldCharType="end"/>
      </w:r>
      <w:r>
        <w:rPr>
          <w:rFonts w:hint="eastAsia" w:ascii="仿宋" w:hAnsi="仿宋" w:eastAsia="仿宋"/>
          <w:sz w:val="24"/>
          <w:szCs w:val="24"/>
        </w:rPr>
        <w:t>被EI索引收录的期刊论文</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（2）B类刊物</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I级，包括</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1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①</w:t>
      </w:r>
      <w:r>
        <w:rPr>
          <w:rFonts w:ascii="仿宋" w:hAnsi="仿宋" w:eastAsia="仿宋"/>
          <w:sz w:val="24"/>
          <w:szCs w:val="24"/>
        </w:rPr>
        <w:fldChar w:fldCharType="end"/>
      </w:r>
      <w:r>
        <w:rPr>
          <w:rFonts w:hint="eastAsia" w:ascii="仿宋" w:hAnsi="仿宋" w:eastAsia="仿宋"/>
          <w:sz w:val="24"/>
          <w:szCs w:val="24"/>
        </w:rPr>
        <w:t>国内核心期刊（详见《北京语言大学学术刊物分类表》（2017年版）附件1+附件2）</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2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②</w:t>
      </w:r>
      <w:r>
        <w:rPr>
          <w:rFonts w:ascii="仿宋" w:hAnsi="仿宋" w:eastAsia="仿宋"/>
          <w:sz w:val="24"/>
          <w:szCs w:val="24"/>
        </w:rPr>
        <w:fldChar w:fldCharType="end"/>
      </w:r>
      <w:r>
        <w:rPr>
          <w:rFonts w:hint="eastAsia" w:ascii="仿宋" w:hAnsi="仿宋" w:eastAsia="仿宋"/>
          <w:sz w:val="24"/>
          <w:szCs w:val="24"/>
        </w:rPr>
        <w:t>CSSCI集刊（详见《北京语言大学学术刊物分类表》（2017年版）附件3）</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3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③</w:t>
      </w:r>
      <w:r>
        <w:rPr>
          <w:rFonts w:ascii="仿宋" w:hAnsi="仿宋" w:eastAsia="仿宋"/>
          <w:sz w:val="24"/>
          <w:szCs w:val="24"/>
        </w:rPr>
        <w:fldChar w:fldCharType="end"/>
      </w:r>
      <w:r>
        <w:rPr>
          <w:rFonts w:hint="eastAsia" w:ascii="仿宋" w:hAnsi="仿宋" w:eastAsia="仿宋"/>
          <w:sz w:val="24"/>
          <w:szCs w:val="24"/>
        </w:rPr>
        <w:t>被CPCI-S、ISSHP和EI等索引收录的会议论文</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4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④</w:t>
      </w:r>
      <w:r>
        <w:rPr>
          <w:rFonts w:ascii="仿宋" w:hAnsi="仿宋" w:eastAsia="仿宋"/>
          <w:sz w:val="24"/>
          <w:szCs w:val="24"/>
        </w:rPr>
        <w:fldChar w:fldCharType="end"/>
      </w:r>
      <w:r>
        <w:rPr>
          <w:rFonts w:hint="eastAsia" w:ascii="仿宋" w:hAnsi="仿宋" w:eastAsia="仿宋"/>
          <w:sz w:val="24"/>
          <w:szCs w:val="24"/>
        </w:rPr>
        <w:t>被《中国人民大学报刊复印资料》和《中国社会科学文摘》转摘的论文</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5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⑤</w:t>
      </w:r>
      <w:r>
        <w:rPr>
          <w:rFonts w:ascii="仿宋" w:hAnsi="仿宋" w:eastAsia="仿宋"/>
          <w:sz w:val="24"/>
          <w:szCs w:val="24"/>
        </w:rPr>
        <w:fldChar w:fldCharType="end"/>
      </w:r>
      <w:r>
        <w:rPr>
          <w:rFonts w:hint="eastAsia" w:ascii="仿宋" w:hAnsi="仿宋" w:eastAsia="仿宋"/>
          <w:sz w:val="24"/>
          <w:szCs w:val="24"/>
        </w:rPr>
        <w:t>被《新华文摘》转摘的论文论点</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ab/>
      </w:r>
      <w:r>
        <w:rPr>
          <w:rFonts w:hint="eastAsia" w:ascii="仿宋" w:hAnsi="仿宋" w:eastAsia="仿宋"/>
          <w:sz w:val="24"/>
          <w:szCs w:val="24"/>
        </w:rPr>
        <w:t xml:space="preserve">      </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6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⑥</w:t>
      </w:r>
      <w:r>
        <w:rPr>
          <w:rFonts w:ascii="仿宋" w:hAnsi="仿宋" w:eastAsia="仿宋"/>
          <w:sz w:val="24"/>
          <w:szCs w:val="24"/>
        </w:rPr>
        <w:fldChar w:fldCharType="end"/>
      </w:r>
      <w:r>
        <w:rPr>
          <w:rFonts w:hint="eastAsia" w:ascii="仿宋" w:hAnsi="仿宋" w:eastAsia="仿宋"/>
          <w:sz w:val="24"/>
          <w:szCs w:val="24"/>
        </w:rPr>
        <w:t>发表在《人民日报》（理论版）和《光明日报》（理论版）上的学术论文</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II级，包括</w:t>
      </w:r>
      <w:r>
        <w:rPr>
          <w:rFonts w:ascii="仿宋" w:hAnsi="仿宋" w:eastAsia="仿宋"/>
          <w:sz w:val="24"/>
          <w:szCs w:val="24"/>
        </w:rPr>
        <w:fldChar w:fldCharType="begin"/>
      </w:r>
      <w:r>
        <w:rPr>
          <w:rFonts w:ascii="仿宋" w:hAnsi="仿宋" w:eastAsia="仿宋"/>
          <w:sz w:val="24"/>
          <w:szCs w:val="24"/>
        </w:rPr>
        <w:instrText xml:space="preserve"> </w:instrText>
      </w:r>
      <w:r>
        <w:rPr>
          <w:rFonts w:hint="eastAsia" w:ascii="仿宋" w:hAnsi="仿宋" w:eastAsia="仿宋"/>
          <w:sz w:val="24"/>
          <w:szCs w:val="24"/>
        </w:rPr>
        <w:instrText xml:space="preserve">= 1 \* GB3</w:instrText>
      </w:r>
      <w:r>
        <w:rPr>
          <w:rFonts w:ascii="仿宋" w:hAnsi="仿宋" w:eastAsia="仿宋"/>
          <w:sz w:val="24"/>
          <w:szCs w:val="24"/>
        </w:rPr>
        <w:instrText xml:space="preserve"> </w:instrText>
      </w:r>
      <w:r>
        <w:rPr>
          <w:rFonts w:ascii="仿宋" w:hAnsi="仿宋" w:eastAsia="仿宋"/>
          <w:sz w:val="24"/>
          <w:szCs w:val="24"/>
        </w:rPr>
        <w:fldChar w:fldCharType="separate"/>
      </w:r>
      <w:r>
        <w:rPr>
          <w:rFonts w:hint="eastAsia" w:ascii="仿宋" w:hAnsi="仿宋" w:eastAsia="仿宋"/>
          <w:sz w:val="24"/>
          <w:szCs w:val="24"/>
        </w:rPr>
        <w:t>①</w:t>
      </w:r>
      <w:r>
        <w:rPr>
          <w:rFonts w:ascii="仿宋" w:hAnsi="仿宋" w:eastAsia="仿宋"/>
          <w:sz w:val="24"/>
          <w:szCs w:val="24"/>
        </w:rPr>
        <w:fldChar w:fldCharType="end"/>
      </w:r>
      <w:r>
        <w:rPr>
          <w:rFonts w:hint="eastAsia" w:ascii="仿宋" w:hAnsi="仿宋" w:eastAsia="仿宋"/>
          <w:sz w:val="24"/>
          <w:szCs w:val="24"/>
        </w:rPr>
        <w:t>被Web of Science（WOS）或 Scopus科研资源数据库收录的境外期刊（详见《北京语言大学学术刊物分类表》（2017年版）附件4）</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（3）C类刊物，指上述A、B类期刊以外的国家正式出版物（包括正式出版的论文集）。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2、计分标准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在A类I级刊物上发表1篇论文得</w:t>
      </w:r>
      <w:r>
        <w:rPr>
          <w:rFonts w:ascii="仿宋" w:hAnsi="仿宋" w:eastAsia="仿宋"/>
          <w:sz w:val="24"/>
          <w:szCs w:val="24"/>
        </w:rPr>
        <w:t>20</w:t>
      </w:r>
      <w:r>
        <w:rPr>
          <w:rFonts w:hint="eastAsia" w:ascii="仿宋" w:hAnsi="仿宋" w:eastAsia="仿宋"/>
          <w:sz w:val="24"/>
          <w:szCs w:val="24"/>
        </w:rPr>
        <w:t>分，A类II级刊物上发表1篇论文得</w:t>
      </w:r>
      <w:r>
        <w:rPr>
          <w:rFonts w:ascii="仿宋" w:hAnsi="仿宋" w:eastAsia="仿宋"/>
          <w:sz w:val="24"/>
          <w:szCs w:val="24"/>
        </w:rPr>
        <w:t>16</w:t>
      </w:r>
      <w:r>
        <w:rPr>
          <w:rFonts w:hint="eastAsia" w:ascii="仿宋" w:hAnsi="仿宋" w:eastAsia="仿宋"/>
          <w:sz w:val="24"/>
          <w:szCs w:val="24"/>
        </w:rPr>
        <w:t>分；在B类I级刊物上发表1篇论文得</w:t>
      </w:r>
      <w:r>
        <w:rPr>
          <w:rFonts w:ascii="仿宋" w:hAnsi="仿宋" w:eastAsia="仿宋"/>
          <w:sz w:val="24"/>
          <w:szCs w:val="24"/>
        </w:rPr>
        <w:t>12</w:t>
      </w:r>
      <w:r>
        <w:rPr>
          <w:rFonts w:hint="eastAsia" w:ascii="仿宋" w:hAnsi="仿宋" w:eastAsia="仿宋"/>
          <w:sz w:val="24"/>
          <w:szCs w:val="24"/>
        </w:rPr>
        <w:t>分，B类II级刊物上发表1篇论文得</w:t>
      </w:r>
      <w:r>
        <w:rPr>
          <w:rFonts w:ascii="仿宋" w:hAnsi="仿宋" w:eastAsia="仿宋"/>
          <w:sz w:val="24"/>
          <w:szCs w:val="24"/>
        </w:rPr>
        <w:t>8</w:t>
      </w:r>
      <w:r>
        <w:rPr>
          <w:rFonts w:hint="eastAsia" w:ascii="仿宋" w:hAnsi="仿宋" w:eastAsia="仿宋"/>
          <w:sz w:val="24"/>
          <w:szCs w:val="24"/>
        </w:rPr>
        <w:t>分；在C类刊物上发表1篇论文得</w:t>
      </w:r>
      <w:r>
        <w:rPr>
          <w:rFonts w:ascii="仿宋" w:hAnsi="仿宋" w:eastAsia="仿宋"/>
          <w:sz w:val="24"/>
          <w:szCs w:val="24"/>
        </w:rPr>
        <w:t>4</w:t>
      </w:r>
      <w:r>
        <w:rPr>
          <w:rFonts w:hint="eastAsia" w:ascii="仿宋" w:hAnsi="仿宋" w:eastAsia="仿宋"/>
          <w:sz w:val="24"/>
          <w:szCs w:val="24"/>
        </w:rPr>
        <w:t>分；在各类内部学术刊物上发表1篇论文得</w:t>
      </w:r>
      <w:r>
        <w:rPr>
          <w:rFonts w:ascii="仿宋" w:hAnsi="仿宋" w:eastAsia="仿宋"/>
          <w:sz w:val="24"/>
          <w:szCs w:val="24"/>
        </w:rPr>
        <w:t>2</w:t>
      </w:r>
      <w:r>
        <w:rPr>
          <w:rFonts w:hint="eastAsia" w:ascii="仿宋" w:hAnsi="仿宋" w:eastAsia="仿宋"/>
          <w:sz w:val="24"/>
          <w:szCs w:val="24"/>
        </w:rPr>
        <w:t>分。收入正式出版的论文集参照C类刊物计分。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（二）参加学术会议的计分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1、在国际学术会议上作大会发言宣读，参照B类II级刊物计分；小组发言或收入会议论文集，参照C类刊物计分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2、在国内学术会议上作大会发言宣读，参照C类刊物计分，小组发言或收入会议论文集的论文，参照内部刊物计分。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3、在学术会议上宣读，后又发表的论文，按两者中最高得分记一次。</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4、国际会议中的研究生论坛，按国内会议计分。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（三）专著、教材、教学大纲、编著、译著等科研成果的计分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1、学术专著</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中央级出版社（含大学出版社）出版的具有较高学术价值及广泛学术影响的学术专著，得</w:t>
      </w:r>
      <w:r>
        <w:rPr>
          <w:rFonts w:ascii="仿宋" w:hAnsi="仿宋" w:eastAsia="仿宋"/>
          <w:sz w:val="24"/>
          <w:szCs w:val="24"/>
        </w:rPr>
        <w:t>16</w:t>
      </w:r>
      <w:r>
        <w:rPr>
          <w:rFonts w:hint="eastAsia" w:ascii="仿宋" w:hAnsi="仿宋" w:eastAsia="仿宋"/>
          <w:sz w:val="24"/>
          <w:szCs w:val="24"/>
        </w:rPr>
        <w:t>分；其他出版社出版的学术专著，得</w:t>
      </w:r>
      <w:r>
        <w:rPr>
          <w:rFonts w:ascii="仿宋" w:hAnsi="仿宋" w:eastAsia="仿宋"/>
          <w:sz w:val="24"/>
          <w:szCs w:val="24"/>
        </w:rPr>
        <w:t>12</w:t>
      </w:r>
      <w:r>
        <w:rPr>
          <w:rFonts w:hint="eastAsia" w:ascii="仿宋" w:hAnsi="仿宋" w:eastAsia="仿宋"/>
          <w:sz w:val="24"/>
          <w:szCs w:val="24"/>
        </w:rPr>
        <w:t>分；参与其中篇章编写按照B类II级刊物发表论文标准计分。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2、教材</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发行量超过3万册（含）的省部级、国家汉办或学校规划教材，主编得</w:t>
      </w:r>
      <w:r>
        <w:rPr>
          <w:rFonts w:ascii="仿宋" w:hAnsi="仿宋" w:eastAsia="仿宋"/>
          <w:sz w:val="24"/>
          <w:szCs w:val="24"/>
        </w:rPr>
        <w:t>8</w:t>
      </w:r>
      <w:r>
        <w:rPr>
          <w:rFonts w:hint="eastAsia" w:ascii="仿宋" w:hAnsi="仿宋" w:eastAsia="仿宋"/>
          <w:sz w:val="24"/>
          <w:szCs w:val="24"/>
        </w:rPr>
        <w:t>分，副主编（限两名）得</w:t>
      </w:r>
      <w:r>
        <w:rPr>
          <w:rFonts w:ascii="仿宋" w:hAnsi="仿宋" w:eastAsia="仿宋"/>
          <w:sz w:val="24"/>
          <w:szCs w:val="24"/>
        </w:rPr>
        <w:t>6</w:t>
      </w:r>
      <w:r>
        <w:rPr>
          <w:rFonts w:hint="eastAsia" w:ascii="仿宋" w:hAnsi="仿宋" w:eastAsia="仿宋"/>
          <w:sz w:val="24"/>
          <w:szCs w:val="24"/>
        </w:rPr>
        <w:t>分，每编写5万字得2分，可累计加分，但主编类最多得10分，副主编最多得8分，其他编者一人最多得</w:t>
      </w:r>
      <w:r>
        <w:rPr>
          <w:rFonts w:ascii="仿宋" w:hAnsi="仿宋" w:eastAsia="仿宋"/>
          <w:sz w:val="24"/>
          <w:szCs w:val="24"/>
        </w:rPr>
        <w:t>5</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发行量3万册以下的省部级、国家汉办或学校规划教材，主编得</w:t>
      </w:r>
      <w:r>
        <w:rPr>
          <w:rFonts w:ascii="仿宋" w:hAnsi="仿宋" w:eastAsia="仿宋"/>
          <w:sz w:val="24"/>
          <w:szCs w:val="24"/>
        </w:rPr>
        <w:t>6</w:t>
      </w:r>
      <w:r>
        <w:rPr>
          <w:rFonts w:hint="eastAsia" w:ascii="仿宋" w:hAnsi="仿宋" w:eastAsia="仿宋"/>
          <w:sz w:val="24"/>
          <w:szCs w:val="24"/>
        </w:rPr>
        <w:t>分，副主编（限两名）得3分，每编写5万字得</w:t>
      </w:r>
      <w:r>
        <w:rPr>
          <w:rFonts w:ascii="仿宋" w:hAnsi="仿宋" w:eastAsia="仿宋"/>
          <w:sz w:val="24"/>
          <w:szCs w:val="24"/>
        </w:rPr>
        <w:t>2</w:t>
      </w:r>
      <w:r>
        <w:rPr>
          <w:rFonts w:hint="eastAsia" w:ascii="仿宋" w:hAnsi="仿宋" w:eastAsia="仿宋"/>
          <w:sz w:val="24"/>
          <w:szCs w:val="24"/>
        </w:rPr>
        <w:t>分，主编最多得8分，副主编最多得</w:t>
      </w:r>
      <w:r>
        <w:rPr>
          <w:rFonts w:ascii="仿宋" w:hAnsi="仿宋" w:eastAsia="仿宋"/>
          <w:sz w:val="24"/>
          <w:szCs w:val="24"/>
        </w:rPr>
        <w:t>5</w:t>
      </w:r>
      <w:r>
        <w:rPr>
          <w:rFonts w:hint="eastAsia" w:ascii="仿宋" w:hAnsi="仿宋" w:eastAsia="仿宋"/>
          <w:sz w:val="24"/>
          <w:szCs w:val="24"/>
        </w:rPr>
        <w:t>分，其他编者一人最多得</w:t>
      </w:r>
      <w:r>
        <w:rPr>
          <w:rFonts w:ascii="仿宋" w:hAnsi="仿宋" w:eastAsia="仿宋"/>
          <w:sz w:val="24"/>
          <w:szCs w:val="24"/>
        </w:rPr>
        <w:t>3</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其他教材，主编得</w:t>
      </w:r>
      <w:r>
        <w:rPr>
          <w:rFonts w:ascii="仿宋" w:hAnsi="仿宋" w:eastAsia="仿宋"/>
          <w:sz w:val="24"/>
          <w:szCs w:val="24"/>
        </w:rPr>
        <w:t>4</w:t>
      </w:r>
      <w:r>
        <w:rPr>
          <w:rFonts w:hint="eastAsia" w:ascii="仿宋" w:hAnsi="仿宋" w:eastAsia="仿宋"/>
          <w:sz w:val="24"/>
          <w:szCs w:val="24"/>
        </w:rPr>
        <w:t>分，副主编（限两名）得2分，每编写5万字得1分，主编最多得</w:t>
      </w:r>
      <w:r>
        <w:rPr>
          <w:rFonts w:ascii="仿宋" w:hAnsi="仿宋" w:eastAsia="仿宋"/>
          <w:sz w:val="24"/>
          <w:szCs w:val="24"/>
        </w:rPr>
        <w:t>6</w:t>
      </w:r>
      <w:r>
        <w:rPr>
          <w:rFonts w:hint="eastAsia" w:ascii="仿宋" w:hAnsi="仿宋" w:eastAsia="仿宋"/>
          <w:sz w:val="24"/>
          <w:szCs w:val="24"/>
        </w:rPr>
        <w:t>分，副主编最多得</w:t>
      </w:r>
      <w:r>
        <w:rPr>
          <w:rFonts w:ascii="仿宋" w:hAnsi="仿宋" w:eastAsia="仿宋"/>
          <w:sz w:val="24"/>
          <w:szCs w:val="24"/>
        </w:rPr>
        <w:t>4</w:t>
      </w:r>
      <w:r>
        <w:rPr>
          <w:rFonts w:hint="eastAsia" w:ascii="仿宋" w:hAnsi="仿宋" w:eastAsia="仿宋"/>
          <w:sz w:val="24"/>
          <w:szCs w:val="24"/>
        </w:rPr>
        <w:t>分，其他编者一人最多得</w:t>
      </w:r>
      <w:r>
        <w:rPr>
          <w:rFonts w:ascii="仿宋" w:hAnsi="仿宋" w:eastAsia="仿宋"/>
          <w:sz w:val="24"/>
          <w:szCs w:val="24"/>
        </w:rPr>
        <w:t>3</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3、教学大纲</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正式出版的教学大纲得</w:t>
      </w:r>
      <w:r>
        <w:rPr>
          <w:rFonts w:ascii="仿宋" w:hAnsi="仿宋" w:eastAsia="仿宋"/>
          <w:sz w:val="24"/>
          <w:szCs w:val="24"/>
        </w:rPr>
        <w:t>8</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4、工具书</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独立完成或作为主编完成的与本人所学专业一致的学术性工具书，字数20万以上（含）者得</w:t>
      </w:r>
      <w:r>
        <w:rPr>
          <w:rFonts w:ascii="仿宋" w:hAnsi="仿宋" w:eastAsia="仿宋"/>
          <w:sz w:val="24"/>
          <w:szCs w:val="24"/>
        </w:rPr>
        <w:t>10</w:t>
      </w:r>
      <w:r>
        <w:rPr>
          <w:rFonts w:hint="eastAsia" w:ascii="仿宋" w:hAnsi="仿宋" w:eastAsia="仿宋"/>
          <w:sz w:val="24"/>
          <w:szCs w:val="24"/>
        </w:rPr>
        <w:t>分，20万字以下者得</w:t>
      </w:r>
      <w:r>
        <w:rPr>
          <w:rFonts w:ascii="仿宋" w:hAnsi="仿宋" w:eastAsia="仿宋"/>
          <w:sz w:val="24"/>
          <w:szCs w:val="24"/>
        </w:rPr>
        <w:t>8</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5、译著</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正式出版的学术译著，得</w:t>
      </w:r>
      <w:r>
        <w:rPr>
          <w:rFonts w:ascii="仿宋" w:hAnsi="仿宋" w:eastAsia="仿宋"/>
          <w:sz w:val="24"/>
          <w:szCs w:val="24"/>
        </w:rPr>
        <w:t>8</w:t>
      </w:r>
      <w:r>
        <w:rPr>
          <w:rFonts w:hint="eastAsia" w:ascii="仿宋" w:hAnsi="仿宋" w:eastAsia="仿宋"/>
          <w:sz w:val="24"/>
          <w:szCs w:val="24"/>
        </w:rPr>
        <w:t>分；非学术译著，得</w:t>
      </w:r>
      <w:r>
        <w:rPr>
          <w:rFonts w:ascii="仿宋" w:hAnsi="仿宋" w:eastAsia="仿宋"/>
          <w:sz w:val="24"/>
          <w:szCs w:val="24"/>
        </w:rPr>
        <w:t>4</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6、编著</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正式出版的学术编著，得</w:t>
      </w:r>
      <w:r>
        <w:rPr>
          <w:rFonts w:ascii="仿宋" w:hAnsi="仿宋" w:eastAsia="仿宋"/>
          <w:sz w:val="24"/>
          <w:szCs w:val="24"/>
        </w:rPr>
        <w:t>6</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正式出版的教学参考书及其他成果，得</w:t>
      </w:r>
      <w:r>
        <w:rPr>
          <w:rFonts w:ascii="仿宋" w:hAnsi="仿宋" w:eastAsia="仿宋"/>
          <w:sz w:val="24"/>
          <w:szCs w:val="24"/>
        </w:rPr>
        <w:t>4</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论文集编者得1分。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（四）科研项目的计分</w:t>
      </w:r>
    </w:p>
    <w:p>
      <w:pPr>
        <w:spacing w:line="360" w:lineRule="auto"/>
        <w:jc w:val="left"/>
        <w:rPr>
          <w:rFonts w:ascii="仿宋" w:hAnsi="仿宋" w:eastAsia="仿宋"/>
          <w:sz w:val="24"/>
          <w:szCs w:val="24"/>
        </w:rPr>
      </w:pPr>
      <w:r>
        <w:rPr>
          <w:rFonts w:hint="eastAsia" w:ascii="仿宋" w:hAnsi="仿宋" w:eastAsia="仿宋"/>
          <w:sz w:val="24"/>
          <w:szCs w:val="24"/>
        </w:rPr>
        <w:t xml:space="preserve">    科研项目分纵向项目和横向项目。纵向项目是指国家级、省（部）级和校级等项目；横向项目指企事业单位资助委托的科研项目。参与项目人员以立项书或结项书上的姓名为准。</w:t>
      </w:r>
    </w:p>
    <w:p>
      <w:pPr>
        <w:spacing w:line="360" w:lineRule="auto"/>
        <w:jc w:val="left"/>
        <w:rPr>
          <w:rFonts w:ascii="仿宋" w:hAnsi="仿宋" w:eastAsia="仿宋"/>
          <w:sz w:val="24"/>
          <w:szCs w:val="24"/>
        </w:rPr>
      </w:pPr>
      <w:r>
        <w:rPr>
          <w:rFonts w:hint="eastAsia" w:ascii="仿宋" w:hAnsi="仿宋" w:eastAsia="仿宋"/>
          <w:sz w:val="24"/>
          <w:szCs w:val="24"/>
        </w:rPr>
        <w:t xml:space="preserve">    在读期间作为项目主持人已经结项或通过专家鉴定的科研项目依照下列标准执行，在研科研项目减半计分；在读期间参与科研项目而非主持人的已经结项或通过专家鉴定的科研项目，减半计分，参与在研科研项目按1/4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1、国家级重点或重大研究项目，每项</w:t>
      </w:r>
      <w:r>
        <w:rPr>
          <w:rFonts w:ascii="仿宋" w:hAnsi="仿宋" w:eastAsia="仿宋"/>
          <w:sz w:val="24"/>
          <w:szCs w:val="24"/>
        </w:rPr>
        <w:t>16</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2、国家级其他研究项目、省部级重点或重大研究项目，每项</w:t>
      </w:r>
      <w:r>
        <w:rPr>
          <w:rFonts w:ascii="仿宋" w:hAnsi="仿宋" w:eastAsia="仿宋"/>
          <w:sz w:val="24"/>
          <w:szCs w:val="24"/>
        </w:rPr>
        <w:t>12</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3、省部级其他研究项目、国家汉办及同级重点或重大研究项目，每项</w:t>
      </w:r>
      <w:r>
        <w:rPr>
          <w:rFonts w:ascii="仿宋" w:hAnsi="仿宋" w:eastAsia="仿宋"/>
          <w:sz w:val="24"/>
          <w:szCs w:val="24"/>
        </w:rPr>
        <w:t>10</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4、国家汉办及同级其他研究项目、校级规划项目，每项</w:t>
      </w:r>
      <w:r>
        <w:rPr>
          <w:rFonts w:ascii="仿宋" w:hAnsi="仿宋" w:eastAsia="仿宋"/>
          <w:sz w:val="24"/>
          <w:szCs w:val="24"/>
        </w:rPr>
        <w:t>7</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5、其他校级科研项目，每项</w:t>
      </w:r>
      <w:r>
        <w:rPr>
          <w:rFonts w:ascii="仿宋" w:hAnsi="仿宋" w:eastAsia="仿宋"/>
          <w:sz w:val="24"/>
          <w:szCs w:val="24"/>
        </w:rPr>
        <w:t>4</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6、青年自主科研项目和研究生创新基金项目，每项</w:t>
      </w:r>
      <w:r>
        <w:rPr>
          <w:rFonts w:ascii="仿宋" w:hAnsi="仿宋" w:eastAsia="仿宋"/>
          <w:sz w:val="24"/>
          <w:szCs w:val="24"/>
        </w:rPr>
        <w:t>2</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7、项目经费在10万元（含）以上的横向项目按照第4项计分；项目经费在10万元以下的横向项目按照第5项计分。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项目成果以论文、专著、教材等形式公开出版或发表的按相应成果另计分。</w:t>
      </w:r>
    </w:p>
    <w:p>
      <w:pPr>
        <w:spacing w:line="360" w:lineRule="auto"/>
        <w:jc w:val="left"/>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（五）科研成果获奖的计分</w:t>
      </w:r>
    </w:p>
    <w:p>
      <w:pPr>
        <w:spacing w:line="360" w:lineRule="auto"/>
        <w:jc w:val="left"/>
        <w:rPr>
          <w:rFonts w:ascii="仿宋" w:hAnsi="仿宋" w:eastAsia="仿宋"/>
          <w:sz w:val="24"/>
          <w:szCs w:val="24"/>
        </w:rPr>
      </w:pPr>
      <w:r>
        <w:rPr>
          <w:rFonts w:hint="eastAsia" w:ascii="仿宋" w:hAnsi="仿宋" w:eastAsia="仿宋"/>
          <w:sz w:val="24"/>
          <w:szCs w:val="24"/>
        </w:rPr>
        <w:t xml:space="preserve">    1、国家级一等奖，得</w:t>
      </w:r>
      <w:r>
        <w:rPr>
          <w:rFonts w:ascii="仿宋" w:hAnsi="仿宋" w:eastAsia="仿宋"/>
          <w:sz w:val="24"/>
          <w:szCs w:val="24"/>
        </w:rPr>
        <w:t>16</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2、国家级二等奖、省部级一等奖，得</w:t>
      </w:r>
      <w:r>
        <w:rPr>
          <w:rFonts w:ascii="仿宋" w:hAnsi="仿宋" w:eastAsia="仿宋"/>
          <w:sz w:val="24"/>
          <w:szCs w:val="24"/>
        </w:rPr>
        <w:t>12</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3、国家级三等奖、省部级二等奖，得</w:t>
      </w:r>
      <w:r>
        <w:rPr>
          <w:rFonts w:ascii="仿宋" w:hAnsi="仿宋" w:eastAsia="仿宋"/>
          <w:sz w:val="24"/>
          <w:szCs w:val="24"/>
        </w:rPr>
        <w:t>10</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4、省部级三等奖得</w:t>
      </w:r>
      <w:r>
        <w:rPr>
          <w:rFonts w:ascii="仿宋" w:hAnsi="仿宋" w:eastAsia="仿宋"/>
          <w:sz w:val="24"/>
          <w:szCs w:val="24"/>
        </w:rPr>
        <w:t>6</w:t>
      </w:r>
      <w:r>
        <w:rPr>
          <w:rFonts w:hint="eastAsia" w:ascii="仿宋" w:hAnsi="仿宋" w:eastAsia="仿宋"/>
          <w:sz w:val="24"/>
          <w:szCs w:val="24"/>
        </w:rPr>
        <w:t>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5、省部级研究生科研竞赛一等奖得</w:t>
      </w:r>
      <w:r>
        <w:rPr>
          <w:rFonts w:ascii="仿宋" w:hAnsi="仿宋" w:eastAsia="仿宋"/>
          <w:sz w:val="24"/>
          <w:szCs w:val="24"/>
        </w:rPr>
        <w:t>6</w:t>
      </w:r>
      <w:r>
        <w:rPr>
          <w:rFonts w:hint="eastAsia" w:ascii="仿宋" w:hAnsi="仿宋" w:eastAsia="仿宋"/>
          <w:sz w:val="24"/>
          <w:szCs w:val="24"/>
        </w:rPr>
        <w:t>分，二等奖得</w:t>
      </w:r>
      <w:r>
        <w:rPr>
          <w:rFonts w:ascii="仿宋" w:hAnsi="仿宋" w:eastAsia="仿宋"/>
          <w:sz w:val="24"/>
          <w:szCs w:val="24"/>
        </w:rPr>
        <w:t>5</w:t>
      </w:r>
      <w:r>
        <w:rPr>
          <w:rFonts w:hint="eastAsia" w:ascii="仿宋" w:hAnsi="仿宋" w:eastAsia="仿宋"/>
          <w:sz w:val="24"/>
          <w:szCs w:val="24"/>
        </w:rPr>
        <w:t>分，三等奖得3分；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6、校级研究生科研竞赛一等奖得</w:t>
      </w:r>
      <w:r>
        <w:rPr>
          <w:rFonts w:ascii="仿宋" w:hAnsi="仿宋" w:eastAsia="仿宋"/>
          <w:sz w:val="24"/>
          <w:szCs w:val="24"/>
        </w:rPr>
        <w:t>5</w:t>
      </w:r>
      <w:r>
        <w:rPr>
          <w:rFonts w:hint="eastAsia" w:ascii="仿宋" w:hAnsi="仿宋" w:eastAsia="仿宋"/>
          <w:sz w:val="24"/>
          <w:szCs w:val="24"/>
        </w:rPr>
        <w:t>分，二等奖得</w:t>
      </w:r>
      <w:r>
        <w:rPr>
          <w:rFonts w:ascii="仿宋" w:hAnsi="仿宋" w:eastAsia="仿宋"/>
          <w:sz w:val="24"/>
          <w:szCs w:val="24"/>
        </w:rPr>
        <w:t>3</w:t>
      </w:r>
      <w:r>
        <w:rPr>
          <w:rFonts w:hint="eastAsia" w:ascii="仿宋" w:hAnsi="仿宋" w:eastAsia="仿宋"/>
          <w:sz w:val="24"/>
          <w:szCs w:val="24"/>
        </w:rPr>
        <w:t>分，三等奖得2分；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7、研究院（学部、学院</w:t>
      </w:r>
      <w:r>
        <w:rPr>
          <w:rFonts w:ascii="仿宋" w:hAnsi="仿宋" w:eastAsia="仿宋"/>
          <w:sz w:val="24"/>
          <w:szCs w:val="24"/>
        </w:rPr>
        <w:t>）</w:t>
      </w:r>
      <w:r>
        <w:rPr>
          <w:rFonts w:hint="eastAsia" w:ascii="仿宋" w:hAnsi="仿宋" w:eastAsia="仿宋"/>
          <w:sz w:val="24"/>
          <w:szCs w:val="24"/>
        </w:rPr>
        <w:t>级研究生科研竞赛一等奖得2分，二等奖得1分，三等奖得0.5分。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（六）多人合作科研成果分值的分配</w:t>
      </w:r>
    </w:p>
    <w:p>
      <w:pPr>
        <w:spacing w:line="360" w:lineRule="auto"/>
        <w:jc w:val="left"/>
        <w:rPr>
          <w:rFonts w:ascii="仿宋" w:hAnsi="仿宋" w:eastAsia="仿宋"/>
          <w:sz w:val="24"/>
          <w:szCs w:val="24"/>
        </w:rPr>
      </w:pPr>
      <w:r>
        <w:rPr>
          <w:rFonts w:hint="eastAsia" w:ascii="仿宋" w:hAnsi="仿宋" w:eastAsia="仿宋"/>
          <w:sz w:val="24"/>
          <w:szCs w:val="24"/>
        </w:rPr>
        <w:t xml:space="preserve">    多人合作科研成果，包括论文、专著等各类科研成果及科研获奖，除上述标准已经明确外，分值按照以下公式计算，最终分数四舍五入保留两位小数：</w:t>
      </w:r>
    </w:p>
    <w:p>
      <w:pPr>
        <w:spacing w:line="360" w:lineRule="auto"/>
        <w:ind w:firstLine="4680" w:firstLineChars="1950"/>
        <w:rPr>
          <w:rFonts w:ascii="仿宋" w:hAnsi="仿宋" w:eastAsia="仿宋"/>
          <w:sz w:val="24"/>
          <w:szCs w:val="24"/>
        </w:rPr>
      </w:pPr>
      <w:r>
        <w:rPr>
          <w:rFonts w:hint="eastAsia" w:ascii="仿宋" w:hAnsi="仿宋" w:eastAsia="仿宋"/>
          <w:sz w:val="24"/>
          <w:szCs w:val="24"/>
        </w:rPr>
        <w:t>N-S+1</w:t>
      </w:r>
    </w:p>
    <w:p>
      <w:pPr>
        <w:spacing w:line="360" w:lineRule="auto"/>
        <w:ind w:firstLine="240"/>
        <w:jc w:val="center"/>
        <w:rPr>
          <w:rFonts w:ascii="仿宋" w:hAnsi="仿宋" w:eastAsia="仿宋"/>
          <w:sz w:val="24"/>
          <w:szCs w:val="24"/>
        </w:rPr>
      </w:pPr>
      <w:r>
        <w:rPr>
          <w:rFonts w:hint="eastAsia" w:ascii="仿宋" w:hAnsi="仿宋" w:eastAsia="仿宋"/>
          <w:sz w:val="24"/>
          <w:szCs w:val="24"/>
        </w:rPr>
        <w:t>第S名合作者得分=</w:t>
      </w:r>
      <w:r>
        <w:rPr>
          <w:rFonts w:ascii="Calibri" w:hAnsi="Calibri" w:eastAsia="仿宋" w:cs="Calibri"/>
          <w:sz w:val="24"/>
          <w:szCs w:val="24"/>
        </w:rPr>
        <w:t>   </w:t>
      </w:r>
      <w:r>
        <w:rPr>
          <w:rFonts w:hint="eastAsia" w:ascii="仿宋" w:hAnsi="仿宋" w:eastAsia="仿宋"/>
          <w:sz w:val="24"/>
          <w:szCs w:val="24"/>
        </w:rPr>
        <w:t>——————————</w:t>
      </w:r>
      <w:r>
        <w:rPr>
          <w:rFonts w:ascii="Calibri" w:hAnsi="Calibri" w:eastAsia="仿宋" w:cs="Calibri"/>
          <w:sz w:val="24"/>
          <w:szCs w:val="24"/>
        </w:rPr>
        <w:t>   </w:t>
      </w:r>
      <w:r>
        <w:rPr>
          <w:rFonts w:hint="eastAsia" w:ascii="仿宋" w:hAnsi="仿宋" w:eastAsia="仿宋"/>
          <w:sz w:val="24"/>
          <w:szCs w:val="24"/>
        </w:rPr>
        <w:t>×P</w:t>
      </w:r>
    </w:p>
    <w:p>
      <w:pPr>
        <w:spacing w:line="360" w:lineRule="auto"/>
        <w:ind w:firstLine="240"/>
        <w:rPr>
          <w:rFonts w:ascii="仿宋" w:hAnsi="仿宋" w:eastAsia="仿宋"/>
          <w:sz w:val="24"/>
          <w:szCs w:val="24"/>
        </w:rPr>
      </w:pPr>
      <w:r>
        <w:rPr>
          <w:rFonts w:ascii="Calibri" w:hAnsi="Calibri" w:eastAsia="仿宋" w:cs="Calibri"/>
          <w:sz w:val="24"/>
          <w:szCs w:val="24"/>
        </w:rPr>
        <w:t>                     </w:t>
      </w:r>
      <w:r>
        <w:rPr>
          <w:rFonts w:hint="eastAsia" w:ascii="仿宋" w:hAnsi="仿宋" w:eastAsia="仿宋"/>
          <w:sz w:val="24"/>
          <w:szCs w:val="24"/>
        </w:rPr>
        <w:t xml:space="preserve">           </w:t>
      </w:r>
      <w:r>
        <w:rPr>
          <w:rFonts w:ascii="Calibri" w:hAnsi="Calibri" w:eastAsia="仿宋" w:cs="Calibri"/>
          <w:sz w:val="24"/>
          <w:szCs w:val="24"/>
        </w:rPr>
        <w:t>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1+2+......+(N-1)+N</w:t>
      </w:r>
    </w:p>
    <w:p>
      <w:pPr>
        <w:spacing w:line="360" w:lineRule="auto"/>
        <w:ind w:firstLine="240"/>
        <w:rPr>
          <w:rFonts w:ascii="仿宋" w:hAnsi="仿宋" w:eastAsia="仿宋"/>
          <w:sz w:val="24"/>
          <w:szCs w:val="24"/>
        </w:rPr>
      </w:pPr>
      <w:r>
        <w:rPr>
          <w:rFonts w:ascii="Calibri" w:hAnsi="Calibri" w:eastAsia="仿宋" w:cs="Calibri"/>
          <w:sz w:val="24"/>
          <w:szCs w:val="24"/>
        </w:rPr>
        <w:t>  </w:t>
      </w:r>
      <w:r>
        <w:rPr>
          <w:rFonts w:hint="eastAsia" w:ascii="仿宋" w:hAnsi="仿宋" w:eastAsia="仿宋"/>
          <w:sz w:val="24"/>
          <w:szCs w:val="24"/>
        </w:rPr>
        <w:t>其中：S为合作者名次</w:t>
      </w:r>
    </w:p>
    <w:p>
      <w:pPr>
        <w:spacing w:line="360" w:lineRule="auto"/>
        <w:ind w:firstLine="240"/>
        <w:rPr>
          <w:rFonts w:ascii="仿宋" w:hAnsi="仿宋" w:eastAsia="仿宋"/>
          <w:sz w:val="24"/>
          <w:szCs w:val="24"/>
        </w:rPr>
      </w:pPr>
      <w:r>
        <w:rPr>
          <w:rFonts w:ascii="Calibri" w:hAnsi="Calibri" w:eastAsia="仿宋" w:cs="Calibri"/>
          <w:sz w:val="24"/>
          <w:szCs w:val="24"/>
        </w:rPr>
        <w:t>    </w:t>
      </w:r>
      <w:r>
        <w:rPr>
          <w:rFonts w:hint="eastAsia" w:ascii="仿宋" w:hAnsi="仿宋" w:eastAsia="仿宋"/>
          <w:sz w:val="24"/>
          <w:szCs w:val="24"/>
        </w:rPr>
        <w:t xml:space="preserve">     N为合作者总数</w:t>
      </w:r>
    </w:p>
    <w:p>
      <w:pPr>
        <w:spacing w:line="360" w:lineRule="auto"/>
        <w:ind w:firstLine="480" w:firstLineChars="200"/>
        <w:jc w:val="left"/>
        <w:rPr>
          <w:rFonts w:ascii="仿宋" w:hAnsi="仿宋" w:eastAsia="仿宋"/>
          <w:sz w:val="24"/>
          <w:szCs w:val="24"/>
        </w:rPr>
      </w:pPr>
      <w:r>
        <w:rPr>
          <w:rFonts w:ascii="Calibri" w:hAnsi="Calibri" w:eastAsia="仿宋" w:cs="Calibri"/>
          <w:sz w:val="24"/>
          <w:szCs w:val="24"/>
        </w:rPr>
        <w:t>  </w:t>
      </w:r>
      <w:r>
        <w:rPr>
          <w:rFonts w:hint="eastAsia" w:ascii="仿宋" w:hAnsi="仿宋" w:eastAsia="仿宋"/>
          <w:sz w:val="24"/>
          <w:szCs w:val="24"/>
        </w:rPr>
        <w:t xml:space="preserve"> </w:t>
      </w:r>
      <w:r>
        <w:rPr>
          <w:rFonts w:ascii="仿宋" w:hAnsi="仿宋" w:eastAsia="仿宋"/>
          <w:sz w:val="24"/>
          <w:szCs w:val="24"/>
        </w:rPr>
        <w:t xml:space="preserve"> </w:t>
      </w:r>
      <w:r>
        <w:rPr>
          <w:rFonts w:hint="eastAsia" w:ascii="仿宋" w:hAnsi="仿宋" w:eastAsia="仿宋"/>
          <w:sz w:val="24"/>
          <w:szCs w:val="24"/>
        </w:rPr>
        <w:t xml:space="preserve"> </w:t>
      </w:r>
      <w:r>
        <w:rPr>
          <w:rFonts w:ascii="Calibri" w:hAnsi="Calibri" w:eastAsia="仿宋" w:cs="Calibri"/>
          <w:sz w:val="24"/>
          <w:szCs w:val="24"/>
        </w:rPr>
        <w:t>  </w:t>
      </w:r>
      <w:r>
        <w:rPr>
          <w:rFonts w:hint="eastAsia" w:ascii="仿宋" w:hAnsi="仿宋" w:eastAsia="仿宋"/>
          <w:sz w:val="24"/>
          <w:szCs w:val="24"/>
        </w:rPr>
        <w:t>P为该项成果的总分</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（七）其他</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1. 以上所有成果，单位署名需为北京语言大学，否则不计分，所有科研附加分需提供发表期刊、专著等作品原件，不含用稿通知；参加学术会议、科研项目需提交相关负责单位的带有公章的证明原件。</w:t>
      </w:r>
    </w:p>
    <w:p>
      <w:pPr>
        <w:spacing w:line="360" w:lineRule="auto"/>
        <w:ind w:firstLine="480" w:firstLineChars="200"/>
        <w:rPr>
          <w:rFonts w:ascii="仿宋" w:hAnsi="仿宋" w:eastAsia="仿宋"/>
          <w:sz w:val="24"/>
          <w:szCs w:val="24"/>
        </w:rPr>
      </w:pPr>
      <w:r>
        <w:rPr>
          <w:rFonts w:hint="eastAsia" w:ascii="仿宋" w:hAnsi="仿宋" w:eastAsia="仿宋"/>
          <w:sz w:val="24"/>
          <w:szCs w:val="24"/>
        </w:rPr>
        <w:t>2. 除</w:t>
      </w:r>
      <w:r>
        <w:rPr>
          <w:rFonts w:ascii="仿宋" w:hAnsi="仿宋" w:eastAsia="仿宋"/>
          <w:sz w:val="24"/>
          <w:szCs w:val="24"/>
        </w:rPr>
        <w:t>以上</w:t>
      </w:r>
      <w:r>
        <w:rPr>
          <w:rFonts w:hint="eastAsia" w:ascii="仿宋" w:hAnsi="仿宋" w:eastAsia="仿宋"/>
          <w:sz w:val="24"/>
          <w:szCs w:val="24"/>
        </w:rPr>
        <w:t>计分</w:t>
      </w:r>
      <w:r>
        <w:rPr>
          <w:rFonts w:ascii="仿宋" w:hAnsi="仿宋" w:eastAsia="仿宋"/>
          <w:sz w:val="24"/>
          <w:szCs w:val="24"/>
        </w:rPr>
        <w:t>细则外，</w:t>
      </w:r>
      <w:r>
        <w:rPr>
          <w:rFonts w:hint="eastAsia" w:ascii="仿宋" w:hAnsi="仿宋" w:eastAsia="仿宋"/>
          <w:sz w:val="24"/>
          <w:szCs w:val="24"/>
        </w:rPr>
        <w:t>中华文化研究院研究生学业奖学金评审委员会将以学术研究水平为核心标准，</w:t>
      </w:r>
      <w:r>
        <w:rPr>
          <w:rFonts w:ascii="仿宋" w:hAnsi="仿宋" w:eastAsia="仿宋"/>
          <w:sz w:val="24"/>
          <w:szCs w:val="24"/>
        </w:rPr>
        <w:t>对</w:t>
      </w:r>
      <w:r>
        <w:rPr>
          <w:rFonts w:hint="eastAsia" w:ascii="仿宋" w:hAnsi="仿宋" w:eastAsia="仿宋"/>
          <w:sz w:val="24"/>
          <w:szCs w:val="24"/>
        </w:rPr>
        <w:t>研究生</w:t>
      </w:r>
      <w:r>
        <w:rPr>
          <w:rFonts w:ascii="仿宋" w:hAnsi="仿宋" w:eastAsia="仿宋"/>
          <w:sz w:val="24"/>
          <w:szCs w:val="24"/>
        </w:rPr>
        <w:t>提供的</w:t>
      </w:r>
      <w:r>
        <w:rPr>
          <w:rFonts w:hint="eastAsia" w:ascii="仿宋" w:hAnsi="仿宋" w:eastAsia="仿宋"/>
          <w:sz w:val="24"/>
          <w:szCs w:val="24"/>
        </w:rPr>
        <w:t>科研评定</w:t>
      </w:r>
      <w:r>
        <w:rPr>
          <w:rFonts w:ascii="仿宋" w:hAnsi="仿宋" w:eastAsia="仿宋"/>
          <w:sz w:val="24"/>
          <w:szCs w:val="24"/>
        </w:rPr>
        <w:t>材料</w:t>
      </w:r>
      <w:r>
        <w:rPr>
          <w:rFonts w:hint="eastAsia" w:ascii="仿宋" w:hAnsi="仿宋" w:eastAsia="仿宋"/>
          <w:sz w:val="24"/>
          <w:szCs w:val="24"/>
        </w:rPr>
        <w:t>从期刊</w:t>
      </w:r>
      <w:r>
        <w:rPr>
          <w:rFonts w:ascii="仿宋" w:hAnsi="仿宋" w:eastAsia="仿宋"/>
          <w:sz w:val="24"/>
          <w:szCs w:val="24"/>
        </w:rPr>
        <w:t>容量、</w:t>
      </w:r>
      <w:r>
        <w:rPr>
          <w:rFonts w:hint="eastAsia" w:ascii="仿宋" w:hAnsi="仿宋" w:eastAsia="仿宋"/>
          <w:sz w:val="24"/>
          <w:szCs w:val="24"/>
        </w:rPr>
        <w:t>科研成果的学术价值等</w:t>
      </w:r>
      <w:r>
        <w:rPr>
          <w:rFonts w:ascii="仿宋" w:hAnsi="仿宋" w:eastAsia="仿宋"/>
          <w:sz w:val="24"/>
          <w:szCs w:val="24"/>
        </w:rPr>
        <w:t>方面进行审核</w:t>
      </w:r>
      <w:r>
        <w:rPr>
          <w:rFonts w:hint="eastAsia" w:ascii="仿宋" w:hAnsi="仿宋" w:eastAsia="仿宋"/>
          <w:sz w:val="24"/>
          <w:szCs w:val="24"/>
        </w:rPr>
        <w:t>，并</w:t>
      </w:r>
      <w:r>
        <w:rPr>
          <w:rFonts w:ascii="仿宋" w:hAnsi="仿宋" w:eastAsia="仿宋"/>
          <w:sz w:val="24"/>
          <w:szCs w:val="24"/>
        </w:rPr>
        <w:t>最终确定计分。</w:t>
      </w:r>
    </w:p>
    <w:p>
      <w:pPr>
        <w:spacing w:line="360" w:lineRule="auto"/>
        <w:ind w:firstLine="480" w:firstLineChars="200"/>
        <w:jc w:val="left"/>
        <w:rPr>
          <w:rFonts w:ascii="仿宋" w:hAnsi="仿宋" w:eastAsia="仿宋"/>
          <w:sz w:val="24"/>
          <w:szCs w:val="24"/>
        </w:rPr>
      </w:pPr>
    </w:p>
    <w:p>
      <w:pPr>
        <w:spacing w:line="360" w:lineRule="auto"/>
        <w:ind w:firstLine="562" w:firstLineChars="200"/>
        <w:jc w:val="center"/>
        <w:rPr>
          <w:rFonts w:ascii="仿宋" w:hAnsi="仿宋" w:eastAsia="仿宋"/>
          <w:b/>
          <w:sz w:val="28"/>
          <w:szCs w:val="24"/>
        </w:rPr>
      </w:pPr>
      <w:r>
        <w:rPr>
          <w:rFonts w:hint="eastAsia" w:ascii="仿宋" w:hAnsi="仿宋" w:eastAsia="仿宋"/>
          <w:b/>
          <w:sz w:val="28"/>
          <w:szCs w:val="24"/>
        </w:rPr>
        <w:t>四、个人申诉</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第九条 对学业奖学金评审结果有异议的研究生，可在评审结果公布之日起5个工作日内向中华文化研究院研究生学业奖学金评审委员会提出书面申诉，评审委员会在接收申诉后5个工作日内作出答复。</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第十条 如研究生对研究院研究生学业奖学金评审委员会答复仍有异议，可在委员会答复后5个工作日内向校研究生学业奖学金评审领导小组提起申诉，校研究生学业奖学金评审领导小组审核后提出处理意见，并报主管校领导批准，通知研究生本人及所在单位。此意见为学校最终处理意见。</w:t>
      </w:r>
    </w:p>
    <w:p>
      <w:pPr>
        <w:jc w:val="center"/>
        <w:rPr>
          <w:rFonts w:ascii="仿宋" w:hAnsi="仿宋" w:eastAsia="仿宋"/>
          <w:b/>
          <w:sz w:val="28"/>
          <w:szCs w:val="24"/>
        </w:rPr>
      </w:pPr>
    </w:p>
    <w:p>
      <w:pPr>
        <w:spacing w:line="360" w:lineRule="auto"/>
        <w:jc w:val="center"/>
        <w:rPr>
          <w:rFonts w:ascii="仿宋" w:hAnsi="仿宋" w:eastAsia="仿宋"/>
          <w:b/>
          <w:sz w:val="28"/>
          <w:szCs w:val="24"/>
        </w:rPr>
      </w:pPr>
      <w:r>
        <w:rPr>
          <w:rFonts w:hint="eastAsia" w:ascii="仿宋" w:hAnsi="仿宋" w:eastAsia="仿宋"/>
          <w:b/>
          <w:sz w:val="28"/>
          <w:szCs w:val="24"/>
        </w:rPr>
        <w:t>五、附则</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第十一条 研究生所提供的各项评定材料必须真实可靠，如发现弄虚作假行为，立即取消当年学业奖学金评选资格，已发放奖学金予以追回。</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第十二条 开学报到注册无故迟到者，停发该年度学业奖学金。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第十三条 人事档案无故未转到或逾期到达的，取消当年学业奖学金评选资格。</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第十四条 出现违反国家法律法规和学校规章制度、考试作弊或违反学术道德行为者，撤销一切申请奖学金的资格，并追回奖学金。</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第十五条 本办法自2016级研究生起试行。</w:t>
      </w:r>
    </w:p>
    <w:p>
      <w:pPr>
        <w:spacing w:line="360" w:lineRule="auto"/>
        <w:ind w:firstLine="480" w:firstLineChars="200"/>
        <w:rPr>
          <w:rFonts w:ascii="仿宋" w:hAnsi="仿宋" w:eastAsia="仿宋"/>
          <w:sz w:val="24"/>
          <w:szCs w:val="24"/>
        </w:rPr>
      </w:pPr>
      <w:r>
        <w:rPr>
          <w:rFonts w:hint="eastAsia" w:ascii="仿宋" w:hAnsi="仿宋" w:eastAsia="仿宋"/>
          <w:sz w:val="24"/>
          <w:szCs w:val="24"/>
        </w:rPr>
        <w:t>第十六条 本办法由北京语言大学中华文化研究院研究生学业奖学金评审领导小组负责解释。</w:t>
      </w:r>
    </w:p>
    <w:p>
      <w:pPr>
        <w:spacing w:line="360" w:lineRule="auto"/>
        <w:jc w:val="right"/>
        <w:rPr>
          <w:rFonts w:ascii="仿宋" w:hAnsi="仿宋" w:eastAsia="仿宋"/>
          <w:sz w:val="24"/>
          <w:szCs w:val="24"/>
        </w:rPr>
      </w:pPr>
    </w:p>
    <w:p>
      <w:pPr>
        <w:spacing w:line="360" w:lineRule="auto"/>
        <w:ind w:right="720"/>
        <w:jc w:val="right"/>
        <w:rPr>
          <w:rFonts w:hint="eastAsia" w:ascii="仿宋" w:hAnsi="仿宋" w:eastAsia="仿宋"/>
          <w:sz w:val="24"/>
          <w:szCs w:val="24"/>
        </w:rPr>
      </w:pPr>
      <w:r>
        <w:rPr>
          <w:rFonts w:hint="eastAsia" w:ascii="仿宋" w:hAnsi="仿宋" w:eastAsia="仿宋"/>
          <w:sz w:val="24"/>
          <w:szCs w:val="24"/>
        </w:rPr>
        <w:t>北京语言大学中华文化研究院</w:t>
      </w:r>
    </w:p>
    <w:p>
      <w:pPr>
        <w:spacing w:line="360" w:lineRule="auto"/>
        <w:ind w:right="480"/>
        <w:jc w:val="right"/>
        <w:rPr>
          <w:rFonts w:hint="eastAsia" w:ascii="仿宋" w:hAnsi="仿宋" w:eastAsia="仿宋"/>
          <w:sz w:val="24"/>
          <w:szCs w:val="24"/>
        </w:rPr>
      </w:pPr>
      <w:r>
        <w:rPr>
          <w:rFonts w:hint="eastAsia" w:ascii="仿宋" w:hAnsi="仿宋" w:eastAsia="仿宋"/>
          <w:sz w:val="24"/>
          <w:szCs w:val="24"/>
        </w:rPr>
        <w:t>研究生学业奖学金评审领导小组</w:t>
      </w:r>
    </w:p>
    <w:p>
      <w:pPr>
        <w:spacing w:line="360" w:lineRule="auto"/>
        <w:ind w:right="420" w:firstLine="4680" w:firstLineChars="1950"/>
        <w:rPr>
          <w:rFonts w:ascii="仿宋" w:hAnsi="仿宋" w:eastAsia="仿宋"/>
          <w:sz w:val="24"/>
          <w:szCs w:val="24"/>
        </w:rPr>
      </w:pPr>
      <w:r>
        <w:rPr>
          <w:rFonts w:hint="eastAsia" w:ascii="仿宋" w:hAnsi="仿宋" w:eastAsia="仿宋"/>
          <w:sz w:val="24"/>
          <w:szCs w:val="24"/>
        </w:rPr>
        <w:t>（中华文化研究院代章）</w:t>
      </w:r>
    </w:p>
    <w:p>
      <w:pPr>
        <w:spacing w:line="360" w:lineRule="auto"/>
        <w:ind w:right="420" w:firstLine="4800" w:firstLineChars="2000"/>
        <w:rPr>
          <w:rFonts w:ascii="仿宋" w:hAnsi="仿宋" w:eastAsia="仿宋"/>
          <w:sz w:val="24"/>
          <w:szCs w:val="24"/>
        </w:rPr>
      </w:pPr>
      <w:r>
        <w:rPr>
          <w:rFonts w:hint="eastAsia" w:ascii="仿宋" w:hAnsi="仿宋" w:eastAsia="仿宋"/>
          <w:sz w:val="24"/>
          <w:szCs w:val="24"/>
        </w:rPr>
        <w:t>二〇一八年十月十五日</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4087066"/>
      <w:docPartObj>
        <w:docPartGallery w:val="AutoText"/>
      </w:docPartObj>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sz w:val="15"/>
        </w:rPr>
      </w:pPr>
      <w:r>
        <w:rPr>
          <w:rFonts w:ascii="仿宋" w:hAnsi="仿宋" w:eastAsia="仿宋"/>
          <w:sz w:val="21"/>
          <w:szCs w:val="24"/>
        </w:rPr>
        <w:footnoteRef/>
      </w:r>
      <w:r>
        <w:rPr>
          <w:rFonts w:hint="eastAsia" w:ascii="仿宋" w:hAnsi="仿宋" w:eastAsia="仿宋"/>
          <w:sz w:val="21"/>
          <w:szCs w:val="24"/>
        </w:rPr>
        <w:t>、实行研究生全面收费后，取消原来的非定向、定向、委培、自筹四小类和计划内、计划外两大类的现行划分，将学历教育的研究生重新划分为非定向培养研究生和定向培养研究生。</w:t>
      </w:r>
    </w:p>
  </w:footnote>
  <w:footnote w:id="1">
    <w:p>
      <w:pPr>
        <w:pStyle w:val="7"/>
        <w:rPr>
          <w:sz w:val="15"/>
        </w:rPr>
      </w:pPr>
      <w:r>
        <w:rPr>
          <w:rFonts w:ascii="仿宋" w:hAnsi="仿宋" w:eastAsia="仿宋"/>
          <w:sz w:val="21"/>
          <w:szCs w:val="24"/>
        </w:rPr>
        <w:footnoteRef/>
      </w:r>
      <w:r>
        <w:rPr>
          <w:rFonts w:hint="eastAsia" w:ascii="仿宋" w:hAnsi="仿宋" w:eastAsia="仿宋"/>
          <w:sz w:val="21"/>
          <w:szCs w:val="24"/>
        </w:rPr>
        <w:t>、休学、延期毕业研究生不参加当年度学业奖学金评定，保留学籍研究生参加录取年度学业奖学金评定。</w:t>
      </w:r>
    </w:p>
  </w:footnote>
  <w:footnote w:id="2">
    <w:p>
      <w:pPr>
        <w:pStyle w:val="7"/>
        <w:rPr>
          <w:sz w:val="21"/>
          <w:szCs w:val="21"/>
        </w:rPr>
      </w:pPr>
      <w:r>
        <w:rPr>
          <w:rFonts w:hint="eastAsia" w:ascii="仿宋" w:hAnsi="仿宋" w:eastAsia="仿宋"/>
          <w:sz w:val="21"/>
          <w:szCs w:val="21"/>
        </w:rPr>
        <w:t>3、因部分同学外语免修，无法计算其外语必修课成绩，为公平起见，在成绩绩点计算中将其去除。</w:t>
      </w:r>
    </w:p>
  </w:footnote>
  <w:footnote w:id="3">
    <w:p>
      <w:pPr>
        <w:pStyle w:val="7"/>
      </w:pPr>
      <w:r>
        <w:rPr>
          <w:rFonts w:ascii="仿宋" w:hAnsi="仿宋" w:eastAsia="仿宋"/>
          <w:sz w:val="21"/>
          <w:szCs w:val="21"/>
        </w:rPr>
        <w:footnoteRef/>
      </w:r>
      <w:r>
        <w:rPr>
          <w:rFonts w:hint="eastAsia" w:ascii="仿宋" w:hAnsi="仿宋" w:eastAsia="仿宋"/>
          <w:sz w:val="21"/>
          <w:szCs w:val="21"/>
        </w:rPr>
        <w:t>、如北京</w:t>
      </w:r>
      <w:r>
        <w:rPr>
          <w:rFonts w:ascii="仿宋" w:hAnsi="仿宋" w:eastAsia="仿宋"/>
          <w:sz w:val="21"/>
          <w:szCs w:val="21"/>
        </w:rPr>
        <w:t>语言大学科研处对</w:t>
      </w:r>
      <w:r>
        <w:rPr>
          <w:rFonts w:hint="eastAsia" w:ascii="仿宋" w:hAnsi="仿宋" w:eastAsia="仿宋"/>
          <w:sz w:val="21"/>
          <w:szCs w:val="21"/>
        </w:rPr>
        <w:t>《北京语言大学学术刊物分类表》做</w:t>
      </w:r>
      <w:r>
        <w:rPr>
          <w:rFonts w:ascii="仿宋" w:hAnsi="仿宋" w:eastAsia="仿宋"/>
          <w:sz w:val="21"/>
          <w:szCs w:val="21"/>
        </w:rPr>
        <w:t>修订，本办法将</w:t>
      </w:r>
      <w:r>
        <w:rPr>
          <w:rFonts w:hint="eastAsia" w:ascii="仿宋" w:hAnsi="仿宋" w:eastAsia="仿宋"/>
          <w:sz w:val="21"/>
          <w:szCs w:val="21"/>
        </w:rPr>
        <w:t>以</w:t>
      </w:r>
      <w:r>
        <w:rPr>
          <w:rFonts w:ascii="仿宋" w:hAnsi="仿宋" w:eastAsia="仿宋"/>
          <w:sz w:val="21"/>
          <w:szCs w:val="21"/>
        </w:rPr>
        <w:t>最新版为基础。</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21BB7"/>
    <w:multiLevelType w:val="multilevel"/>
    <w:tmpl w:val="07921BB7"/>
    <w:lvl w:ilvl="0" w:tentative="0">
      <w:start w:val="1"/>
      <w:numFmt w:val="japaneseCounting"/>
      <w:lvlText w:val="（%1）"/>
      <w:lvlJc w:val="left"/>
      <w:pPr>
        <w:ind w:left="1170" w:hanging="72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
    <w:nsid w:val="2BE35FBC"/>
    <w:multiLevelType w:val="multilevel"/>
    <w:tmpl w:val="2BE35FBC"/>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63C95857"/>
    <w:multiLevelType w:val="multilevel"/>
    <w:tmpl w:val="63C95857"/>
    <w:lvl w:ilvl="0" w:tentative="0">
      <w:start w:val="1"/>
      <w:numFmt w:val="japaneseCounting"/>
      <w:lvlText w:val="%1、"/>
      <w:lvlJc w:val="left"/>
      <w:pPr>
        <w:ind w:left="1080" w:hanging="63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FA"/>
    <w:rsid w:val="0002422A"/>
    <w:rsid w:val="000422AF"/>
    <w:rsid w:val="00051AE4"/>
    <w:rsid w:val="00051B13"/>
    <w:rsid w:val="000568B7"/>
    <w:rsid w:val="00061E9C"/>
    <w:rsid w:val="0007756E"/>
    <w:rsid w:val="000C22F7"/>
    <w:rsid w:val="000C4D10"/>
    <w:rsid w:val="000C7DD9"/>
    <w:rsid w:val="000D5EBA"/>
    <w:rsid w:val="000F3D9A"/>
    <w:rsid w:val="00101761"/>
    <w:rsid w:val="00101D9C"/>
    <w:rsid w:val="00123628"/>
    <w:rsid w:val="00126780"/>
    <w:rsid w:val="001323D5"/>
    <w:rsid w:val="00145C44"/>
    <w:rsid w:val="00155526"/>
    <w:rsid w:val="0016204A"/>
    <w:rsid w:val="001941DA"/>
    <w:rsid w:val="001A4842"/>
    <w:rsid w:val="001D5684"/>
    <w:rsid w:val="001D5A1B"/>
    <w:rsid w:val="001E26B1"/>
    <w:rsid w:val="001E2B12"/>
    <w:rsid w:val="00205B19"/>
    <w:rsid w:val="00211B72"/>
    <w:rsid w:val="002141D1"/>
    <w:rsid w:val="00247F5E"/>
    <w:rsid w:val="00263309"/>
    <w:rsid w:val="00266B49"/>
    <w:rsid w:val="002674DC"/>
    <w:rsid w:val="0027046D"/>
    <w:rsid w:val="002735C5"/>
    <w:rsid w:val="00273D9E"/>
    <w:rsid w:val="00276490"/>
    <w:rsid w:val="00277B7D"/>
    <w:rsid w:val="002831B2"/>
    <w:rsid w:val="002842DA"/>
    <w:rsid w:val="0028716C"/>
    <w:rsid w:val="002945EB"/>
    <w:rsid w:val="002B6A02"/>
    <w:rsid w:val="002C349A"/>
    <w:rsid w:val="002C4069"/>
    <w:rsid w:val="002F09A1"/>
    <w:rsid w:val="002F36CF"/>
    <w:rsid w:val="002F6712"/>
    <w:rsid w:val="00302D08"/>
    <w:rsid w:val="003039D1"/>
    <w:rsid w:val="003109D0"/>
    <w:rsid w:val="0032402C"/>
    <w:rsid w:val="00342AD4"/>
    <w:rsid w:val="00357448"/>
    <w:rsid w:val="0036423E"/>
    <w:rsid w:val="00372FE8"/>
    <w:rsid w:val="0039073F"/>
    <w:rsid w:val="00392BF3"/>
    <w:rsid w:val="003A5568"/>
    <w:rsid w:val="003B61B8"/>
    <w:rsid w:val="003D0446"/>
    <w:rsid w:val="003D7ABE"/>
    <w:rsid w:val="003F2975"/>
    <w:rsid w:val="00411C1F"/>
    <w:rsid w:val="00414AE2"/>
    <w:rsid w:val="00424522"/>
    <w:rsid w:val="0042672A"/>
    <w:rsid w:val="00440967"/>
    <w:rsid w:val="00443F53"/>
    <w:rsid w:val="0046626D"/>
    <w:rsid w:val="0046675E"/>
    <w:rsid w:val="00470D7E"/>
    <w:rsid w:val="004924FC"/>
    <w:rsid w:val="0049700C"/>
    <w:rsid w:val="004E7BF8"/>
    <w:rsid w:val="005103A6"/>
    <w:rsid w:val="00513C75"/>
    <w:rsid w:val="005221E4"/>
    <w:rsid w:val="00555421"/>
    <w:rsid w:val="005725AE"/>
    <w:rsid w:val="005734A1"/>
    <w:rsid w:val="005839CD"/>
    <w:rsid w:val="00585091"/>
    <w:rsid w:val="005967FA"/>
    <w:rsid w:val="005A2ACE"/>
    <w:rsid w:val="005B20F5"/>
    <w:rsid w:val="005B372B"/>
    <w:rsid w:val="005C47A1"/>
    <w:rsid w:val="005C7D18"/>
    <w:rsid w:val="00603FBF"/>
    <w:rsid w:val="00612861"/>
    <w:rsid w:val="00642BAB"/>
    <w:rsid w:val="00655809"/>
    <w:rsid w:val="00675928"/>
    <w:rsid w:val="00686D2C"/>
    <w:rsid w:val="006915B3"/>
    <w:rsid w:val="00695E74"/>
    <w:rsid w:val="006B74EB"/>
    <w:rsid w:val="006C066D"/>
    <w:rsid w:val="006C0FEA"/>
    <w:rsid w:val="006E4859"/>
    <w:rsid w:val="006F083B"/>
    <w:rsid w:val="006F2F65"/>
    <w:rsid w:val="00707A7D"/>
    <w:rsid w:val="00733A49"/>
    <w:rsid w:val="00735FF9"/>
    <w:rsid w:val="00746F12"/>
    <w:rsid w:val="00757D9A"/>
    <w:rsid w:val="00763A52"/>
    <w:rsid w:val="00781782"/>
    <w:rsid w:val="00785930"/>
    <w:rsid w:val="00786D3D"/>
    <w:rsid w:val="007931BC"/>
    <w:rsid w:val="0079443D"/>
    <w:rsid w:val="00794495"/>
    <w:rsid w:val="007A007E"/>
    <w:rsid w:val="007A0092"/>
    <w:rsid w:val="007D2A24"/>
    <w:rsid w:val="007E4F87"/>
    <w:rsid w:val="007F0980"/>
    <w:rsid w:val="007F570B"/>
    <w:rsid w:val="00820286"/>
    <w:rsid w:val="0082304F"/>
    <w:rsid w:val="008301A3"/>
    <w:rsid w:val="00882641"/>
    <w:rsid w:val="008910DA"/>
    <w:rsid w:val="00894AAC"/>
    <w:rsid w:val="008960EE"/>
    <w:rsid w:val="00896DFC"/>
    <w:rsid w:val="008A74EA"/>
    <w:rsid w:val="008B6EB5"/>
    <w:rsid w:val="008C0B27"/>
    <w:rsid w:val="008C4916"/>
    <w:rsid w:val="00901468"/>
    <w:rsid w:val="009264DA"/>
    <w:rsid w:val="009276A4"/>
    <w:rsid w:val="0093758B"/>
    <w:rsid w:val="00963074"/>
    <w:rsid w:val="00974BAE"/>
    <w:rsid w:val="00982E82"/>
    <w:rsid w:val="0098561C"/>
    <w:rsid w:val="00994773"/>
    <w:rsid w:val="009A103F"/>
    <w:rsid w:val="009A2ADB"/>
    <w:rsid w:val="009B1003"/>
    <w:rsid w:val="009C0075"/>
    <w:rsid w:val="009C4DCA"/>
    <w:rsid w:val="009D0CA0"/>
    <w:rsid w:val="009D3423"/>
    <w:rsid w:val="009E2D5C"/>
    <w:rsid w:val="009F3B88"/>
    <w:rsid w:val="00A01CAE"/>
    <w:rsid w:val="00A04E3F"/>
    <w:rsid w:val="00A06D67"/>
    <w:rsid w:val="00A22A1A"/>
    <w:rsid w:val="00A2676F"/>
    <w:rsid w:val="00A3205B"/>
    <w:rsid w:val="00A37993"/>
    <w:rsid w:val="00A465CF"/>
    <w:rsid w:val="00A50768"/>
    <w:rsid w:val="00A56DB0"/>
    <w:rsid w:val="00A6055C"/>
    <w:rsid w:val="00A75E5E"/>
    <w:rsid w:val="00A76B14"/>
    <w:rsid w:val="00A8352A"/>
    <w:rsid w:val="00AC4F68"/>
    <w:rsid w:val="00AC76B8"/>
    <w:rsid w:val="00AD3837"/>
    <w:rsid w:val="00AD60FF"/>
    <w:rsid w:val="00B03716"/>
    <w:rsid w:val="00B05D23"/>
    <w:rsid w:val="00B07B14"/>
    <w:rsid w:val="00B170D1"/>
    <w:rsid w:val="00B33E72"/>
    <w:rsid w:val="00B66073"/>
    <w:rsid w:val="00B93B79"/>
    <w:rsid w:val="00B94EA5"/>
    <w:rsid w:val="00BA394C"/>
    <w:rsid w:val="00BA46F9"/>
    <w:rsid w:val="00BB073F"/>
    <w:rsid w:val="00BB1C83"/>
    <w:rsid w:val="00BD34F4"/>
    <w:rsid w:val="00C1598D"/>
    <w:rsid w:val="00C20662"/>
    <w:rsid w:val="00C238BD"/>
    <w:rsid w:val="00C45E47"/>
    <w:rsid w:val="00C562DD"/>
    <w:rsid w:val="00C61A7E"/>
    <w:rsid w:val="00C86654"/>
    <w:rsid w:val="00CB0C9B"/>
    <w:rsid w:val="00CB7425"/>
    <w:rsid w:val="00CD316B"/>
    <w:rsid w:val="00CE4447"/>
    <w:rsid w:val="00CF2F22"/>
    <w:rsid w:val="00D126D6"/>
    <w:rsid w:val="00D25B91"/>
    <w:rsid w:val="00D30EBA"/>
    <w:rsid w:val="00D6402D"/>
    <w:rsid w:val="00DC0495"/>
    <w:rsid w:val="00DC772D"/>
    <w:rsid w:val="00DD24D1"/>
    <w:rsid w:val="00DD7C8C"/>
    <w:rsid w:val="00DE02DC"/>
    <w:rsid w:val="00DE35AE"/>
    <w:rsid w:val="00DE360A"/>
    <w:rsid w:val="00E02B8C"/>
    <w:rsid w:val="00E02C1A"/>
    <w:rsid w:val="00E05807"/>
    <w:rsid w:val="00E220B0"/>
    <w:rsid w:val="00E434E0"/>
    <w:rsid w:val="00E72DD8"/>
    <w:rsid w:val="00E74B6B"/>
    <w:rsid w:val="00E76CC1"/>
    <w:rsid w:val="00E83140"/>
    <w:rsid w:val="00EA37C7"/>
    <w:rsid w:val="00EA4DAA"/>
    <w:rsid w:val="00EC1AA5"/>
    <w:rsid w:val="00ED25B7"/>
    <w:rsid w:val="00F334CA"/>
    <w:rsid w:val="00F3625F"/>
    <w:rsid w:val="00F44FD6"/>
    <w:rsid w:val="00F50B33"/>
    <w:rsid w:val="00F55E72"/>
    <w:rsid w:val="00F57178"/>
    <w:rsid w:val="00F60809"/>
    <w:rsid w:val="00F73D81"/>
    <w:rsid w:val="00F8339C"/>
    <w:rsid w:val="00F85A5B"/>
    <w:rsid w:val="00FC6D6A"/>
    <w:rsid w:val="00FC7974"/>
    <w:rsid w:val="00FC7DA4"/>
    <w:rsid w:val="00FD4772"/>
    <w:rsid w:val="00FD477E"/>
    <w:rsid w:val="00FE007B"/>
    <w:rsid w:val="00FE17D2"/>
    <w:rsid w:val="00FF5B4F"/>
    <w:rsid w:val="1DC9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qFormat/>
    <w:uiPriority w:val="99"/>
    <w:pPr>
      <w:jc w:val="left"/>
    </w:pPr>
  </w:style>
  <w:style w:type="paragraph" w:styleId="3">
    <w:name w:val="Body Text"/>
    <w:basedOn w:val="1"/>
    <w:link w:val="15"/>
    <w:uiPriority w:val="0"/>
    <w:pPr>
      <w:spacing w:after="120"/>
    </w:pPr>
    <w:rPr>
      <w:rFonts w:ascii="Calibri" w:hAnsi="Calibri" w:eastAsia="宋体"/>
    </w:rPr>
  </w:style>
  <w:style w:type="paragraph" w:styleId="4">
    <w:name w:val="Balloon Text"/>
    <w:basedOn w:val="1"/>
    <w:link w:val="17"/>
    <w:semiHidden/>
    <w:unhideWhenUsed/>
    <w:uiPriority w:val="99"/>
    <w:rPr>
      <w:sz w:val="18"/>
      <w:szCs w:val="18"/>
    </w:rPr>
  </w:style>
  <w:style w:type="paragraph" w:styleId="5">
    <w:name w:val="footer"/>
    <w:basedOn w:val="1"/>
    <w:link w:val="21"/>
    <w:unhideWhenUsed/>
    <w:uiPriority w:val="99"/>
    <w:pPr>
      <w:tabs>
        <w:tab w:val="center" w:pos="4153"/>
        <w:tab w:val="right" w:pos="8306"/>
      </w:tabs>
      <w:snapToGrid w:val="0"/>
      <w:jc w:val="left"/>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22"/>
    <w:semiHidden/>
    <w:unhideWhenUsed/>
    <w:uiPriority w:val="99"/>
    <w:pPr>
      <w:snapToGrid w:val="0"/>
      <w:jc w:val="left"/>
    </w:pPr>
    <w:rPr>
      <w:sz w:val="18"/>
      <w:szCs w:val="18"/>
    </w:rPr>
  </w:style>
  <w:style w:type="paragraph" w:styleId="8">
    <w:name w:val="annotation subject"/>
    <w:basedOn w:val="2"/>
    <w:next w:val="2"/>
    <w:link w:val="19"/>
    <w:semiHidden/>
    <w:unhideWhenUsed/>
    <w:qFormat/>
    <w:uiPriority w:val="99"/>
    <w:rPr>
      <w:b/>
      <w:bCs/>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basedOn w:val="11"/>
    <w:semiHidden/>
    <w:unhideWhenUsed/>
    <w:qFormat/>
    <w:uiPriority w:val="99"/>
    <w:rPr>
      <w:sz w:val="21"/>
      <w:szCs w:val="21"/>
    </w:rPr>
  </w:style>
  <w:style w:type="character" w:styleId="13">
    <w:name w:val="footnote reference"/>
    <w:basedOn w:val="11"/>
    <w:semiHidden/>
    <w:unhideWhenUsed/>
    <w:qFormat/>
    <w:uiPriority w:val="99"/>
    <w:rPr>
      <w:vertAlign w:val="superscript"/>
    </w:rPr>
  </w:style>
  <w:style w:type="paragraph" w:styleId="14">
    <w:name w:val="List Paragraph"/>
    <w:basedOn w:val="1"/>
    <w:qFormat/>
    <w:uiPriority w:val="34"/>
    <w:pPr>
      <w:ind w:firstLine="420" w:firstLineChars="200"/>
    </w:pPr>
  </w:style>
  <w:style w:type="character" w:customStyle="1" w:styleId="15">
    <w:name w:val="正文文本 Char"/>
    <w:link w:val="3"/>
    <w:uiPriority w:val="0"/>
    <w:rPr>
      <w:rFonts w:ascii="Calibri" w:hAnsi="Calibri" w:eastAsia="宋体"/>
    </w:rPr>
  </w:style>
  <w:style w:type="character" w:customStyle="1" w:styleId="16">
    <w:name w:val="正文文本 Char1"/>
    <w:basedOn w:val="11"/>
    <w:semiHidden/>
    <w:uiPriority w:val="99"/>
  </w:style>
  <w:style w:type="character" w:customStyle="1" w:styleId="17">
    <w:name w:val="批注框文本 Char"/>
    <w:basedOn w:val="11"/>
    <w:link w:val="4"/>
    <w:semiHidden/>
    <w:qFormat/>
    <w:uiPriority w:val="99"/>
    <w:rPr>
      <w:sz w:val="18"/>
      <w:szCs w:val="18"/>
    </w:rPr>
  </w:style>
  <w:style w:type="character" w:customStyle="1" w:styleId="18">
    <w:name w:val="批注文字 Char"/>
    <w:basedOn w:val="11"/>
    <w:link w:val="2"/>
    <w:semiHidden/>
    <w:qFormat/>
    <w:uiPriority w:val="99"/>
  </w:style>
  <w:style w:type="character" w:customStyle="1" w:styleId="19">
    <w:name w:val="批注主题 Char"/>
    <w:basedOn w:val="18"/>
    <w:link w:val="8"/>
    <w:semiHidden/>
    <w:qFormat/>
    <w:uiPriority w:val="99"/>
    <w:rPr>
      <w:b/>
      <w:bCs/>
    </w:rPr>
  </w:style>
  <w:style w:type="character" w:customStyle="1" w:styleId="20">
    <w:name w:val="页眉 Char"/>
    <w:basedOn w:val="11"/>
    <w:link w:val="6"/>
    <w:qFormat/>
    <w:uiPriority w:val="99"/>
    <w:rPr>
      <w:sz w:val="18"/>
      <w:szCs w:val="18"/>
    </w:rPr>
  </w:style>
  <w:style w:type="character" w:customStyle="1" w:styleId="21">
    <w:name w:val="页脚 Char"/>
    <w:basedOn w:val="11"/>
    <w:link w:val="5"/>
    <w:uiPriority w:val="99"/>
    <w:rPr>
      <w:sz w:val="18"/>
      <w:szCs w:val="18"/>
    </w:rPr>
  </w:style>
  <w:style w:type="character" w:customStyle="1" w:styleId="22">
    <w:name w:val="脚注文本 Char"/>
    <w:basedOn w:val="11"/>
    <w:link w:val="7"/>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49C944-7ECB-4824-BD6A-F4CDD7E9878D}">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1083</Words>
  <Characters>6178</Characters>
  <Lines>51</Lines>
  <Paragraphs>14</Paragraphs>
  <TotalTime>128</TotalTime>
  <ScaleCrop>false</ScaleCrop>
  <LinksUpToDate>false</LinksUpToDate>
  <CharactersWithSpaces>7247</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2017-11-03T10:20:00Z</dcterms:created>
  <dc:creator>Administrator</dc:creator>
  <cp:lastModifiedBy>DELL</cp:lastModifiedBy>
  <cp:lastPrinted>2015-11-19T08:51:00Z</cp:lastPrinted>
  <dcterms:modified xsi:type="dcterms:W3CDTF">2019-10-14T02:16:28Z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